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A80" w:rsidRPr="00EA4A80" w:rsidRDefault="00EA4A80" w:rsidP="00EA4A80">
      <w:pPr>
        <w:jc w:val="center"/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EA4A80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>ÉPÍTÉSZET</w:t>
      </w:r>
    </w:p>
    <w:p w:rsidR="00EA4A80" w:rsidRDefault="00EA4A80" w:rsidP="007E16CD">
      <w:pPr>
        <w:ind w:firstLine="851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 Franciaország központi területén, az </w:t>
      </w:r>
      <w:proofErr w:type="spellStart"/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>Ile</w:t>
      </w:r>
      <w:proofErr w:type="spellEnd"/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>-de-France</w:t>
      </w:r>
      <w:r>
        <w:rPr>
          <w:rFonts w:ascii="Arial" w:hAnsi="Arial" w:cs="Arial"/>
          <w:color w:val="3C4043"/>
          <w:spacing w:val="3"/>
          <w:sz w:val="21"/>
          <w:szCs w:val="21"/>
        </w:rPr>
        <w:t>-ban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il-dö-fransz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 már a 12. század végétől kezdve épültek a katedrálisok – </w:t>
      </w:r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Sant-Denis </w:t>
      </w:r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szendöni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), </w:t>
      </w:r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>Reims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reinsz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), </w:t>
      </w:r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>Chartres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sártr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), </w:t>
      </w:r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>Amiens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amien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), a párizsi </w:t>
      </w:r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Notre-Dame </w:t>
      </w:r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notrdám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 -, amikor Európa többi részén még javában virágzott a romantika.</w:t>
      </w:r>
    </w:p>
    <w:p w:rsidR="00EA4A80" w:rsidRPr="00EA4A80" w:rsidRDefault="00EA4A80" w:rsidP="00EA4A80">
      <w:pPr>
        <w:ind w:firstLine="851"/>
        <w:jc w:val="center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EA4A80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Az irodalom kezdetei</w:t>
      </w:r>
    </w:p>
    <w:p w:rsidR="00EA4A80" w:rsidRDefault="00EA4A80" w:rsidP="007E16CD">
      <w:pPr>
        <w:ind w:firstLine="567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 Az irodalmi művek tartalmi felosztása alapján jöttek létre </w:t>
      </w:r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>az irodalmi műnemek</w:t>
      </w:r>
      <w:r>
        <w:rPr>
          <w:rFonts w:ascii="Arial" w:hAnsi="Arial" w:cs="Arial"/>
          <w:color w:val="3C4043"/>
          <w:spacing w:val="3"/>
          <w:sz w:val="21"/>
          <w:szCs w:val="21"/>
        </w:rPr>
        <w:t>: a líra, az epika és a dráma.</w:t>
      </w:r>
    </w:p>
    <w:p w:rsidR="00EA4A80" w:rsidRDefault="00EA4A80" w:rsidP="00EA4A80">
      <w:pPr>
        <w:ind w:firstLine="708"/>
        <w:rPr>
          <w:rFonts w:ascii="Arial" w:hAnsi="Arial" w:cs="Arial"/>
          <w:color w:val="3C4043"/>
          <w:spacing w:val="3"/>
          <w:sz w:val="21"/>
          <w:szCs w:val="21"/>
        </w:rPr>
      </w:pPr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> Líra</w:t>
      </w:r>
      <w:r>
        <w:rPr>
          <w:rFonts w:ascii="Arial" w:hAnsi="Arial" w:cs="Arial"/>
          <w:color w:val="3C4043"/>
          <w:spacing w:val="3"/>
          <w:sz w:val="21"/>
          <w:szCs w:val="21"/>
        </w:rPr>
        <w:t>: érzelmeket, érzéseket, gondolatokat kifejező mű.</w:t>
      </w:r>
    </w:p>
    <w:p w:rsidR="00EA4A80" w:rsidRDefault="00EA4A80" w:rsidP="00EA4A80">
      <w:pPr>
        <w:ind w:left="708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>Epika</w:t>
      </w:r>
      <w:r>
        <w:rPr>
          <w:rFonts w:ascii="Arial" w:hAnsi="Arial" w:cs="Arial"/>
          <w:color w:val="3C4043"/>
          <w:spacing w:val="3"/>
          <w:sz w:val="21"/>
          <w:szCs w:val="21"/>
        </w:rPr>
        <w:t>: eseményeket, történeteket elbeszélő mű, leírás.</w:t>
      </w:r>
    </w:p>
    <w:p w:rsidR="00EA4A80" w:rsidRDefault="00EA4A80" w:rsidP="00EA4A80">
      <w:pPr>
        <w:ind w:left="708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>Dráma</w:t>
      </w:r>
      <w:r>
        <w:rPr>
          <w:rFonts w:ascii="Arial" w:hAnsi="Arial" w:cs="Arial"/>
          <w:color w:val="3C4043"/>
          <w:spacing w:val="3"/>
          <w:sz w:val="21"/>
          <w:szCs w:val="21"/>
        </w:rPr>
        <w:t>: színpadi előadásra alkalmas mű.</w:t>
      </w:r>
    </w:p>
    <w:p w:rsidR="00EA4A80" w:rsidRDefault="00EA4A80" w:rsidP="00EA4A8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 Az egyes műnemeken belül további tartalmi, formai hangulati stb. jellemzők alapján különítjük el az egyes </w:t>
      </w:r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>műfajokat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EA4A80" w:rsidRPr="00EA4A80" w:rsidRDefault="00EA4A80" w:rsidP="00EA4A80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EA4A80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CÉGADATOK</w:t>
      </w:r>
    </w:p>
    <w:p w:rsidR="00EA4A80" w:rsidRDefault="00EA4A80" w:rsidP="007E16C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 Cég </w:t>
      </w:r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>bevételei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és </w:t>
      </w:r>
      <w:r w:rsidRPr="007E16CD">
        <w:rPr>
          <w:rFonts w:ascii="Arial" w:hAnsi="Arial" w:cs="Arial"/>
          <w:b/>
          <w:color w:val="3C4043"/>
          <w:spacing w:val="3"/>
          <w:sz w:val="21"/>
          <w:szCs w:val="21"/>
        </w:rPr>
        <w:t>kiadásai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első félévben:</w:t>
      </w:r>
    </w:p>
    <w:tbl>
      <w:tblPr>
        <w:tblStyle w:val="Tblzategyszer4"/>
        <w:tblpPr w:leftFromText="141" w:rightFromText="141" w:vertAnchor="text" w:horzAnchor="margin" w:tblpX="851" w:tblpY="-5"/>
        <w:tblW w:w="8408" w:type="dxa"/>
        <w:tblLook w:val="04A0" w:firstRow="1" w:lastRow="0" w:firstColumn="1" w:lastColumn="0" w:noHBand="0" w:noVBand="1"/>
      </w:tblPr>
      <w:tblGrid>
        <w:gridCol w:w="3020"/>
        <w:gridCol w:w="2367"/>
        <w:gridCol w:w="3021"/>
      </w:tblGrid>
      <w:tr w:rsidR="00D4298F" w:rsidTr="00F66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4298F" w:rsidRDefault="00D4298F" w:rsidP="00F6660E">
            <w:pPr>
              <w:jc w:val="center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Január</w:t>
            </w:r>
          </w:p>
        </w:tc>
        <w:tc>
          <w:tcPr>
            <w:tcW w:w="2367" w:type="dxa"/>
          </w:tcPr>
          <w:p w:rsidR="00D4298F" w:rsidRPr="00D4298F" w:rsidRDefault="00D4298F" w:rsidP="00F66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400000</w:t>
            </w:r>
          </w:p>
        </w:tc>
        <w:tc>
          <w:tcPr>
            <w:tcW w:w="3021" w:type="dxa"/>
          </w:tcPr>
          <w:p w:rsidR="00D4298F" w:rsidRDefault="00D4298F" w:rsidP="00F66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150000</w:t>
            </w:r>
          </w:p>
        </w:tc>
      </w:tr>
      <w:tr w:rsidR="00D4298F" w:rsidTr="00F66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4298F" w:rsidRDefault="00D4298F" w:rsidP="00F6660E">
            <w:pPr>
              <w:jc w:val="center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Február</w:t>
            </w:r>
          </w:p>
        </w:tc>
        <w:tc>
          <w:tcPr>
            <w:tcW w:w="2367" w:type="dxa"/>
          </w:tcPr>
          <w:p w:rsidR="00D4298F" w:rsidRDefault="00D4298F" w:rsidP="00F6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500000</w:t>
            </w:r>
          </w:p>
        </w:tc>
        <w:tc>
          <w:tcPr>
            <w:tcW w:w="3021" w:type="dxa"/>
          </w:tcPr>
          <w:p w:rsidR="00D4298F" w:rsidRPr="00D4298F" w:rsidRDefault="00D4298F" w:rsidP="00F6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250000</w:t>
            </w:r>
          </w:p>
        </w:tc>
      </w:tr>
      <w:tr w:rsidR="00D4298F" w:rsidTr="00F6660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4298F" w:rsidRDefault="00D4298F" w:rsidP="00F6660E">
            <w:pPr>
              <w:jc w:val="center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Március</w:t>
            </w:r>
          </w:p>
        </w:tc>
        <w:tc>
          <w:tcPr>
            <w:tcW w:w="2367" w:type="dxa"/>
          </w:tcPr>
          <w:p w:rsidR="00D4298F" w:rsidRDefault="00D4298F" w:rsidP="00F6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600000</w:t>
            </w:r>
          </w:p>
        </w:tc>
        <w:tc>
          <w:tcPr>
            <w:tcW w:w="3021" w:type="dxa"/>
          </w:tcPr>
          <w:p w:rsidR="00D4298F" w:rsidRDefault="00D4298F" w:rsidP="00F6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150000</w:t>
            </w:r>
          </w:p>
        </w:tc>
      </w:tr>
      <w:tr w:rsidR="00D4298F" w:rsidTr="00F66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4298F" w:rsidRDefault="00D4298F" w:rsidP="00F6660E">
            <w:pPr>
              <w:jc w:val="center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Április</w:t>
            </w:r>
          </w:p>
        </w:tc>
        <w:tc>
          <w:tcPr>
            <w:tcW w:w="2367" w:type="dxa"/>
          </w:tcPr>
          <w:p w:rsidR="00D4298F" w:rsidRDefault="00D4298F" w:rsidP="00F6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450000</w:t>
            </w:r>
          </w:p>
        </w:tc>
        <w:tc>
          <w:tcPr>
            <w:tcW w:w="3021" w:type="dxa"/>
          </w:tcPr>
          <w:p w:rsidR="00D4298F" w:rsidRPr="00D4298F" w:rsidRDefault="00D4298F" w:rsidP="00F6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180000</w:t>
            </w:r>
          </w:p>
        </w:tc>
      </w:tr>
      <w:tr w:rsidR="00D4298F" w:rsidTr="00F6660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4298F" w:rsidRDefault="00D4298F" w:rsidP="00F6660E">
            <w:pPr>
              <w:jc w:val="center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Május</w:t>
            </w:r>
          </w:p>
        </w:tc>
        <w:tc>
          <w:tcPr>
            <w:tcW w:w="2367" w:type="dxa"/>
          </w:tcPr>
          <w:p w:rsidR="00D4298F" w:rsidRDefault="00D4298F" w:rsidP="00F6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750000</w:t>
            </w:r>
          </w:p>
        </w:tc>
        <w:tc>
          <w:tcPr>
            <w:tcW w:w="3021" w:type="dxa"/>
          </w:tcPr>
          <w:p w:rsidR="00D4298F" w:rsidRDefault="00D4298F" w:rsidP="00F6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190000</w:t>
            </w:r>
          </w:p>
        </w:tc>
      </w:tr>
      <w:tr w:rsidR="00D4298F" w:rsidTr="007E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4298F" w:rsidRDefault="00D4298F" w:rsidP="00F6660E">
            <w:pPr>
              <w:jc w:val="center"/>
            </w:pPr>
            <w:r w:rsidRPr="00D4298F">
              <w:t>Június</w:t>
            </w:r>
          </w:p>
        </w:tc>
        <w:tc>
          <w:tcPr>
            <w:tcW w:w="2367" w:type="dxa"/>
          </w:tcPr>
          <w:p w:rsidR="00D4298F" w:rsidRDefault="00D4298F" w:rsidP="00F6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850000</w:t>
            </w:r>
          </w:p>
        </w:tc>
        <w:tc>
          <w:tcPr>
            <w:tcW w:w="3021" w:type="dxa"/>
          </w:tcPr>
          <w:p w:rsidR="00D4298F" w:rsidRPr="00D4298F" w:rsidRDefault="00D4298F" w:rsidP="00F6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175000</w:t>
            </w:r>
          </w:p>
        </w:tc>
      </w:tr>
    </w:tbl>
    <w:p w:rsidR="00EA4A80" w:rsidRDefault="00EA4A80" w:rsidP="00F6660E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bookmarkStart w:id="0" w:name="_GoBack"/>
    </w:p>
    <w:bookmarkEnd w:id="0"/>
    <w:p w:rsidR="00EA4A80" w:rsidRDefault="00EA4A80" w:rsidP="00F6660E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 w:rsidRPr="00EA4A80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VERS</w:t>
      </w:r>
    </w:p>
    <w:p w:rsidR="00EA4A80" w:rsidRPr="00D4298F" w:rsidRDefault="00EA4A80" w:rsidP="00D4298F">
      <w:pPr>
        <w:jc w:val="center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4298F">
        <w:rPr>
          <w:rFonts w:ascii="Arial" w:hAnsi="Arial" w:cs="Arial"/>
          <w:b/>
          <w:color w:val="3C4043"/>
          <w:spacing w:val="3"/>
          <w:sz w:val="21"/>
          <w:szCs w:val="21"/>
        </w:rPr>
        <w:t>József Attila: Nyári délután</w:t>
      </w:r>
    </w:p>
    <w:p w:rsidR="00D4298F" w:rsidRDefault="00D4298F" w:rsidP="00EA4A80">
      <w:pPr>
        <w:rPr>
          <w:rFonts w:ascii="Arial" w:hAnsi="Arial" w:cs="Arial"/>
          <w:color w:val="3C4043"/>
          <w:spacing w:val="3"/>
          <w:sz w:val="21"/>
          <w:szCs w:val="21"/>
        </w:rPr>
        <w:sectPr w:rsidR="00D4298F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4298F" w:rsidRDefault="00EA4A80" w:rsidP="00EA4A8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Cseveg az olló. Néne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nyesi a pázsitot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megáll. Hátulról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nézve is látni, ásított.</w:t>
      </w:r>
    </w:p>
    <w:p w:rsidR="00D4298F" w:rsidRDefault="00EA4A80" w:rsidP="00EA4A8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Rádió nyüzsög. Szárnyak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dongnak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az üvegen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a szellők táncot járnak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a puha füveken.</w:t>
      </w:r>
    </w:p>
    <w:p w:rsidR="00D4298F" w:rsidRDefault="00EA4A80" w:rsidP="00EA4A8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Az idő semmit játszik,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langy tócsa most, megállt.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Hogy elleng, abból látszik,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hogy remeg a virág.</w:t>
      </w:r>
    </w:p>
    <w:p w:rsidR="00D4298F" w:rsidRDefault="00EA4A80" w:rsidP="00EA4A8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Én sem tudom már régen,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alszom? Vagy dolgozom?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Megterít a feleségem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szép fehér abroszon.</w:t>
      </w:r>
    </w:p>
    <w:p w:rsidR="00D4298F" w:rsidRDefault="00EA4A80" w:rsidP="00EA4A8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Az eget is e tájon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vászonfény lepi el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csillog, mert üvegtálon</w:t>
      </w:r>
      <w:r w:rsidR="00D4298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ül, a földi eper.</w:t>
      </w:r>
    </w:p>
    <w:p w:rsidR="00023A42" w:rsidRDefault="00D4298F" w:rsidP="00EA4A8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B</w:t>
      </w:r>
      <w:r w:rsidR="00EA4A80">
        <w:rPr>
          <w:rFonts w:ascii="Arial" w:hAnsi="Arial" w:cs="Arial"/>
          <w:color w:val="3C4043"/>
          <w:spacing w:val="3"/>
          <w:sz w:val="21"/>
          <w:szCs w:val="21"/>
        </w:rPr>
        <w:t>oldog vagyok. A kedves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EA4A80">
        <w:rPr>
          <w:rFonts w:ascii="Arial" w:hAnsi="Arial" w:cs="Arial"/>
          <w:color w:val="3C4043"/>
          <w:spacing w:val="3"/>
          <w:sz w:val="21"/>
          <w:szCs w:val="21"/>
        </w:rPr>
        <w:t>mellettem varrogat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EA4A80">
        <w:rPr>
          <w:rFonts w:ascii="Arial" w:hAnsi="Arial" w:cs="Arial"/>
          <w:color w:val="3C4043"/>
          <w:spacing w:val="3"/>
          <w:sz w:val="21"/>
          <w:szCs w:val="21"/>
        </w:rPr>
        <w:t>s hallgatjuk, amint elmegy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EA4A80">
        <w:rPr>
          <w:rFonts w:ascii="Arial" w:hAnsi="Arial" w:cs="Arial"/>
          <w:color w:val="3C4043"/>
          <w:spacing w:val="3"/>
          <w:sz w:val="21"/>
          <w:szCs w:val="21"/>
        </w:rPr>
        <w:t>egy vén tehervonat.</w:t>
      </w:r>
    </w:p>
    <w:p w:rsidR="00D4298F" w:rsidRDefault="00D4298F" w:rsidP="00EA4A80">
      <w:pPr>
        <w:sectPr w:rsidR="00D4298F" w:rsidSect="00D4298F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D4298F" w:rsidRDefault="00D4298F" w:rsidP="00EA4A80"/>
    <w:sectPr w:rsidR="00D4298F" w:rsidSect="00D4298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A80" w:rsidRDefault="00EA4A80" w:rsidP="00EA4A80">
      <w:pPr>
        <w:spacing w:after="0" w:line="240" w:lineRule="auto"/>
      </w:pPr>
      <w:r>
        <w:separator/>
      </w:r>
    </w:p>
  </w:endnote>
  <w:endnote w:type="continuationSeparator" w:id="0">
    <w:p w:rsidR="00EA4A80" w:rsidRDefault="00EA4A80" w:rsidP="00EA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A80" w:rsidRDefault="00EA4A80">
    <w:pPr>
      <w:pStyle w:val="llb"/>
    </w:pPr>
    <w:r>
      <w:rPr>
        <w:rFonts w:ascii="Arial" w:hAnsi="Arial" w:cs="Arial"/>
        <w:color w:val="3C4043"/>
        <w:spacing w:val="3"/>
        <w:sz w:val="21"/>
        <w:szCs w:val="21"/>
      </w:rPr>
      <w:t>Cím: 16-os, aláhúzott, vastagított, középen. Bekezdés: 1,5. Betűnagyság: 12. Tab: 6, 12. Igazítás: sorkizárt és balra igazítás.</w:t>
    </w:r>
  </w:p>
  <w:p w:rsidR="00EA4A80" w:rsidRDefault="00EA4A8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A80" w:rsidRDefault="00EA4A80" w:rsidP="00EA4A80">
      <w:pPr>
        <w:spacing w:after="0" w:line="240" w:lineRule="auto"/>
      </w:pPr>
      <w:r>
        <w:separator/>
      </w:r>
    </w:p>
  </w:footnote>
  <w:footnote w:type="continuationSeparator" w:id="0">
    <w:p w:rsidR="00EA4A80" w:rsidRDefault="00EA4A80" w:rsidP="00EA4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A80" w:rsidRDefault="00EA4A80">
    <w:pPr>
      <w:pStyle w:val="lfej"/>
    </w:pPr>
    <w:r>
      <w:rPr>
        <w:rFonts w:ascii="Arial" w:hAnsi="Arial" w:cs="Arial"/>
        <w:color w:val="3C4043"/>
        <w:spacing w:val="3"/>
        <w:sz w:val="21"/>
        <w:szCs w:val="21"/>
      </w:rPr>
      <w:t>Dolgozat</w:t>
    </w:r>
    <w:r>
      <w:rPr>
        <w:rFonts w:ascii="Arial" w:hAnsi="Arial" w:cs="Arial"/>
        <w:color w:val="3C4043"/>
        <w:spacing w:val="3"/>
        <w:sz w:val="21"/>
        <w:szCs w:val="21"/>
      </w:rPr>
      <w:tab/>
    </w:r>
    <w:r>
      <w:rPr>
        <w:rFonts w:ascii="Arial" w:hAnsi="Arial" w:cs="Arial"/>
        <w:color w:val="3C4043"/>
        <w:spacing w:val="3"/>
        <w:sz w:val="21"/>
        <w:szCs w:val="21"/>
      </w:rPr>
      <w:tab/>
    </w:r>
    <w:r>
      <w:rPr>
        <w:rFonts w:ascii="Arial" w:hAnsi="Arial" w:cs="Arial"/>
        <w:color w:val="3C4043"/>
        <w:spacing w:val="3"/>
        <w:sz w:val="21"/>
        <w:szCs w:val="21"/>
      </w:rPr>
      <w:t> 2024.05.07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80"/>
    <w:rsid w:val="00023A42"/>
    <w:rsid w:val="007E16CD"/>
    <w:rsid w:val="00D4298F"/>
    <w:rsid w:val="00EA4A80"/>
    <w:rsid w:val="00F6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3DB93"/>
  <w15:chartTrackingRefBased/>
  <w15:docId w15:val="{0CFDD2CF-9A23-4426-81D2-DF37911A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A4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4A80"/>
  </w:style>
  <w:style w:type="paragraph" w:styleId="llb">
    <w:name w:val="footer"/>
    <w:basedOn w:val="Norml"/>
    <w:link w:val="llbChar"/>
    <w:uiPriority w:val="99"/>
    <w:unhideWhenUsed/>
    <w:rsid w:val="00EA4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4A80"/>
  </w:style>
  <w:style w:type="table" w:styleId="Rcsostblzat">
    <w:name w:val="Table Grid"/>
    <w:basedOn w:val="Normltblzat"/>
    <w:uiPriority w:val="39"/>
    <w:rsid w:val="00D4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D42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6BBB5-B952-4220-B21A-F229768B6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Kristóf</dc:creator>
  <cp:keywords/>
  <dc:description/>
  <cp:lastModifiedBy>Szőke Kristóf</cp:lastModifiedBy>
  <cp:revision>2</cp:revision>
  <dcterms:created xsi:type="dcterms:W3CDTF">2024-05-07T12:38:00Z</dcterms:created>
  <dcterms:modified xsi:type="dcterms:W3CDTF">2024-05-07T13:04:00Z</dcterms:modified>
</cp:coreProperties>
</file>