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DocTitle"/>
      </w:pPr>
      <w:r>
        <w:rPr/>
        <w:t xml:space="preserve">SACC Software Limited</w:t>
      </w:r>
    </w:p>
    <w:p>
      <w:pPr>
        <w:pStyle w:val="DocSubtitle"/>
      </w:pPr>
      <w:r>
        <w:rPr/>
        <w:t xml:space="preserve">Q-Mgr API Integration Guide</w:t>
      </w:r>
    </w:p>
    <w:p>
      <w:pPr>
        <w:pStyle w:val="DocMeta"/>
      </w:pPr>
      <w:r>
        <w:rPr/>
        <w:t xml:space="preserve">Version 1.0  |  25 August 2026  |  support@getsacc.com</w:t>
      </w:r>
    </w:p>
    <w:p>
      <w:pPr>
        <w:pStyle w:val="H1"/>
      </w:pPr>
      <w:r>
        <w:rPr/>
        <w:t xml:space="preserve">What this is</w:t>
      </w:r>
    </w:p>
    <w:p>
      <w:pPr/>
      <w:r>
        <w:rPr/>
        <w:t xml:space="preserve">This guide is for a developer at a partner organisation — a clinic, bank, pharmacy, or any other business — connecting their own system to Q-Mgr's queue. It covers the one thing almost every integration needs: pushing a customer into the queue and reading the queue back. A companion Postman collection covers every other endpoint in the API.</w:t>
      </w:r>
    </w:p>
    <w:p>
      <w:pPr>
        <w:pStyle w:val="H1"/>
      </w:pPr>
      <w:r>
        <w:rPr/>
        <w:t xml:space="preserve">Getting access</w:t>
      </w:r>
    </w:p>
    <w:p>
      <w:pPr/>
      <w:r>
        <w:rPr/>
        <w:t xml:space="preserve">Ask your Q-Mgr administrator to create an API key for you, from Integrations → API Clients in the Q-Mgr admin panel. They choose which permissions (called </w:t>
      </w:r>
      <w:r>
        <w:rPr>
          <w:b/>
        </w:rPr>
        <w:t xml:space="preserve">scopes</w:t>
      </w:r>
      <w:r>
        <w:rPr/>
        <w:t xml:space="preserve">) your key gets — see the table below — and hand you two values: a </w:t>
      </w:r>
      <w:r>
        <w:rPr>
          <w:b/>
        </w:rPr>
        <w:t xml:space="preserve">Client ID</w:t>
      </w:r>
      <w:r>
        <w:rPr/>
        <w:t xml:space="preserve"> and a </w:t>
      </w:r>
      <w:r>
        <w:rPr>
          <w:b/>
        </w:rPr>
        <w:t xml:space="preserve">Client Secret</w:t>
      </w:r>
      <w:r>
        <w:rPr/>
        <w:t xml:space="preserve">.</w:t>
      </w:r>
    </w:p>
    <w:p>
      <w:pPr/>
      <w:r>
        <w:rPr/>
        <w:t xml:space="preserve">The Client ID is what you use on every request. The Client Secret is only needed if you use the separate token-exchange login instead of sending the key directly (both are described below); it's shown once, so store it somewhere safe.</w:t>
      </w:r>
    </w:p>
    <w:p>
      <w:pPr>
        <w:pStyle w:val="H1"/>
      </w:pPr>
      <w:r>
        <w:rPr/>
        <w:t xml:space="preserve">Authenticating a request</w:t>
      </w:r>
    </w:p>
    <w:p>
      <w:pPr/>
      <w:r>
        <w:rPr/>
        <w:t xml:space="preserve">Add this header to every request:</w:t>
      </w:r>
    </w:p>
    <w:p>
      <w:pPr>
        <w:pStyle w:val="CodeBlock"/>
      </w:pPr>
      <w:r>
        <w:t xml:space="preserve">X-API-Key: your-client-id-here</w:t>
      </w:r>
    </w:p>
    <w:p>
      <w:pPr/>
      <w:r>
        <w:rPr/>
        <w:t xml:space="preserve">That's it — no login step, no token that expires and needs refreshing. Every request is checked against your organisation and your key's scopes, so a key issued to one company can never see or touch another company's data, even by guessing.</w:t>
      </w:r>
    </w:p>
    <w:p>
      <w:pPr/>
      <w:r>
        <w:rPr/>
        <w:t xml:space="preserve">If you'd rather work with a short-lived bearer token instead of sending the raw key on every call, exchange your Client ID and Secret once at </w:t>
      </w:r>
    </w:p>
    <w:p>
      <w:pPr>
        <w:pStyle w:val="CodeBlock"/>
      </w:pPr>
      <w:r>
        <w:t xml:space="preserve">POST /api/v1/auth/token</w:t>
      </w:r>
    </w:p>
    <w:p>
      <w:pPr/>
      <w:r>
        <w:rPr/>
        <w:t xml:space="preserve">and use the token it returns as a normal Authorization: Bearer header. Both approaches reach the same API — pick whichever fits how your system already talks to other services.</w:t>
      </w:r>
    </w:p>
    <w:p>
      <w:pPr>
        <w:pStyle w:val="H1"/>
      </w:pPr>
      <w:r>
        <w:rPr/>
        <w:t xml:space="preserve">Your first request</w:t>
      </w:r>
    </w:p>
    <w:p>
      <w:pPr/>
      <w:r>
        <w:rPr/>
        <w:t xml:space="preserve">Here is the whole flow for putting someone into a queue and checking their position. Replace {branchId} with the branch you were given, and your-client-id-here with your real Client ID.</w:t>
      </w:r>
    </w:p>
    <w:p>
      <w:pPr>
        <w:pStyle w:val="H2"/>
      </w:pPr>
      <w:r>
        <w:rPr/>
        <w:t xml:space="preserve">1. Create the ticket</w:t>
      </w:r>
    </w:p>
    <w:p>
      <w:pPr>
        <w:pStyle w:val="CodeBlock"/>
      </w:pPr>
      <w:r>
        <w:t xml:space="preserve">curl -X POST https://your-qmgr-instance/api/v1/branches/{branchId}/tokens \</w:t>
      </w:r>
    </w:p>
    <w:p>
      <w:pPr>
        <w:pStyle w:val="CodeBlock"/>
      </w:pPr>
      <w:r>
        <w:t xml:space="preserve">  -H "X-API-Key: your-client-id-here" \</w:t>
      </w:r>
    </w:p>
    <w:p>
      <w:pPr>
        <w:pStyle w:val="CodeBlock"/>
      </w:pPr>
      <w:r>
        <w:t xml:space="preserve">  -H "Content-Type: application/json" \</w:t>
      </w:r>
    </w:p>
    <w:p>
      <w:pPr>
        <w:pStyle w:val="CodeBlock"/>
      </w:pPr>
      <w:r>
        <w:t xml:space="preserve">  -d '{</w:t>
      </w:r>
    </w:p>
    <w:p>
      <w:pPr>
        <w:pStyle w:val="CodeBlock"/>
      </w:pPr>
      <w:r>
        <w:t xml:space="preserve">    "serviceTypeCode": "GEN",</w:t>
      </w:r>
    </w:p>
    <w:p>
      <w:pPr>
        <w:pStyle w:val="CodeBlock"/>
      </w:pPr>
      <w:r>
        <w:t xml:space="preserve">    "customer": { "name": "Jane Doe", "phone": "+15550001234" },</w:t>
      </w:r>
    </w:p>
    <w:p>
      <w:pPr>
        <w:pStyle w:val="CodeBlock"/>
      </w:pPr>
      <w:r>
        <w:t xml:space="preserve">    "externalReference": "YOUR-OWN-ID-4821",</w:t>
      </w:r>
    </w:p>
    <w:p>
      <w:pPr>
        <w:pStyle w:val="CodeBlock"/>
      </w:pPr>
      <w:r>
        <w:t xml:space="preserve">    "externalSystem": "your_system_name"</w:t>
      </w:r>
    </w:p>
    <w:p>
      <w:pPr>
        <w:pStyle w:val="CodeBlock"/>
      </w:pPr>
      <w:r>
        <w:t xml:space="preserve">  }'</w:t>
      </w:r>
    </w:p>
    <w:p>
      <w:pPr/>
      <w:r>
        <w:rPr/>
        <w:t xml:space="preserve">The externalReference field is yours to fill in — put whatever ID this person already has in your own system there, so you can look them up again without ever having to store Q-Mgr's own ID anywhere.</w:t>
      </w:r>
    </w:p>
    <w:p>
      <w:pPr>
        <w:pStyle w:val="H2"/>
      </w:pPr>
      <w:r>
        <w:rPr/>
        <w:t xml:space="preserve">2. Read back their position</w:t>
      </w:r>
    </w:p>
    <w:p>
      <w:pPr>
        <w:pStyle w:val="CodeBlock"/>
      </w:pPr>
      <w:r>
        <w:t xml:space="preserve">curl https://your-qmgr-instance/api/v1/branches/{branchId}/tokens/by-reference?externalSystem=your_system_name&amp;externalReference=YOUR-OWN-ID-4821 \</w:t>
      </w:r>
    </w:p>
    <w:p>
      <w:pPr>
        <w:pStyle w:val="CodeBlock"/>
      </w:pPr>
      <w:r>
        <w:t xml:space="preserve">  -H "X-API-Key: your-client-id-here"</w:t>
      </w:r>
    </w:p>
    <w:p>
      <w:pPr>
        <w:pStyle w:val="H2"/>
      </w:pPr>
      <w:r>
        <w:rPr/>
        <w:t xml:space="preserve">3. Check how busy the branch is</w:t>
      </w:r>
    </w:p>
    <w:p>
      <w:pPr>
        <w:pStyle w:val="CodeBlock"/>
      </w:pPr>
      <w:r>
        <w:t xml:space="preserve">curl https://your-qmgr-instance/api/v1/branches/{branchId}/queue/status \</w:t>
      </w:r>
    </w:p>
    <w:p>
      <w:pPr>
        <w:pStyle w:val="CodeBlock"/>
      </w:pPr>
      <w:r>
        <w:t xml:space="preserve">  -H "X-API-Key: your-client-id-here"</w:t>
      </w:r>
    </w:p>
    <w:p>
      <w:pPr>
        <w:pStyle w:val="H1"/>
      </w:pPr>
      <w:r>
        <w:rPr/>
        <w:t xml:space="preserve">What your key can do</w:t>
      </w:r>
    </w:p>
    <w:p>
      <w:pPr/>
      <w:r>
        <w:rPr/>
        <w:t xml:space="preserve">Ask for only the scopes you actually need — a key that just creates tickets shouldn't also be able to cancel them.</w:t>
      </w:r>
    </w:p>
    <w:tbl>
      <w:tblPr>
        <w:tblStyle w:val="TableGrid"/>
        <w:tblW w:w="9350" w:type="dxa"/>
        <w:tblBorders>
          <w:top w:val="single" w:sz="4" w:color="D9DCE1"/>
          <w:left w:val="single" w:sz="4" w:color="D9DCE1"/>
          <w:bottom w:val="single" w:sz="4" w:color="D9DCE1"/>
          <w:right w:val="single" w:sz="4" w:color="D9DCE1"/>
          <w:insideH w:val="single" w:sz="4" w:color="D9DCE1"/>
          <w:insideV w:val="single" w:sz="4" w:color="D9DCE1"/>
        </w:tblBorders>
      </w:tblPr>
      <w:tblGrid>
        <w:gridCol w:w="4675"/>
        <w:gridCol w:w="4675"/>
      </w:tblGrid>
      <w:tr>
        <w:tc>
          <w:tcPr>
            <w:tcW w:w="4675" w:type="dxa"/>
            <w:shd w:val="clear" w:fill="1F2A37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Scope</w:t>
            </w:r>
          </w:p>
        </w:tc>
        <w:tc>
          <w:tcPr>
            <w:tcW w:w="4675" w:type="dxa"/>
            <w:shd w:val="clear" w:fill="1F2A37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What it lets you do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queue:read</w:t>
            </w:r>
          </w:p>
        </w:tc>
        <w:tc>
          <w:tcPr>
            <w:tcW w:w="4675" w:type="dxa"/>
          </w:tcPr>
          <w:p>
            <w:r>
              <w:rPr/>
              <w:t xml:space="preserve">See how busy a branch is right now — total waiting, average wait time, per-service breakdown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queue:write</w:t>
            </w:r>
          </w:p>
        </w:tc>
        <w:tc>
          <w:tcPr>
            <w:tcW w:w="4675" w:type="dxa"/>
          </w:tcPr>
          <w:p>
            <w:r>
              <w:rPr/>
              <w:t xml:space="preserve">Call, complete, or transfer someone at a counter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token:create</w:t>
            </w:r>
          </w:p>
        </w:tc>
        <w:tc>
          <w:tcPr>
            <w:tcW w:w="4675" w:type="dxa"/>
          </w:tcPr>
          <w:p>
            <w:r>
              <w:rPr/>
              <w:t xml:space="preserve">Put someone into the queue — the endpoint used above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token:manage</w:t>
            </w:r>
          </w:p>
        </w:tc>
        <w:tc>
          <w:tcPr>
            <w:tcW w:w="4675" w:type="dxa"/>
          </w:tcPr>
          <w:p>
            <w:r>
              <w:rPr/>
              <w:t xml:space="preserve">Cancel a ticket, plus everything queue:write allows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counter:read</w:t>
            </w:r>
          </w:p>
        </w:tc>
        <w:tc>
          <w:tcPr>
            <w:tcW w:w="4675" w:type="dxa"/>
          </w:tcPr>
          <w:p>
            <w:r>
              <w:rPr/>
              <w:t xml:space="preserve">See which counters exist and whether they are open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service:read</w:t>
            </w:r>
          </w:p>
        </w:tc>
        <w:tc>
          <w:tcPr>
            <w:tcW w:w="4675" w:type="dxa"/>
          </w:tcPr>
          <w:p>
            <w:r>
              <w:rPr/>
              <w:t xml:space="preserve">See the list of service types (e.g. General, Pharmacy Pickup)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stats:read</w:t>
            </w:r>
          </w:p>
        </w:tc>
        <w:tc>
          <w:tcPr>
            <w:tcW w:w="4675" w:type="dxa"/>
          </w:tcPr>
          <w:p>
            <w:r>
              <w:rPr/>
              <w:t xml:space="preserve">Pull reports and analytics</w:t>
            </w:r>
          </w:p>
        </w:tc>
      </w:tr>
    </w:tbl>
    <w:p/>
    <w:p>
      <w:pPr>
        <w:pStyle w:val="H1"/>
      </w:pPr>
      <w:r>
        <w:rPr/>
        <w:t xml:space="preserve">Every other endpoint</w:t>
      </w:r>
    </w:p>
    <w:p>
      <w:pPr/>
      <w:r>
        <w:rPr/>
        <w:t xml:space="preserve">The three calls above cover most integrations, but the full API — visitor management, feedback, billing, everything the Q-Mgr admin panel itself uses — is documented in the Postman collection that came with this guide.</w:t>
      </w:r>
    </w:p>
    <w:p>
      <w:pPr/>
      <w:r>
        <w:rPr/>
        <w:t xml:space="preserve">Import Q-Mgr-API.postman_collection.json and Q-Mgr-Local.postman_environment.json into Postman, set baseUrl to your Q-Mgr instance and apiKey to your Client ID, and every request is already filled in with a working example.</w:t>
      </w:r>
    </w:p>
    <w:p>
      <w:pPr>
        <w:pStyle w:val="H1"/>
      </w:pPr>
      <w:r>
        <w:rPr/>
        <w:t xml:space="preserve">When something goes wrong</w:t>
      </w:r>
    </w:p>
    <w:p>
      <w:pPr/>
      <w:r>
        <w:rPr/>
        <w:t xml:space="preserve">Every error comes back in the same shape: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"title": "Branch not found",</w:t>
      </w:r>
    </w:p>
    <w:p>
      <w:pPr>
        <w:pStyle w:val="CodeBlock"/>
      </w:pPr>
      <w:r>
        <w:t xml:space="preserve">  "detail": "Branch with ID '...' was not found in your organization.",</w:t>
      </w:r>
    </w:p>
    <w:p>
      <w:pPr>
        <w:pStyle w:val="CodeBlock"/>
      </w:pPr>
      <w:r>
        <w:t xml:space="preserve">  "status": 404</w:t>
      </w:r>
    </w:p>
    <w:p>
      <w:pPr>
        <w:pStyle w:val="CodeBlock"/>
      </w:pPr>
      <w:r>
        <w:t xml:space="preserve">}</w:t>
      </w:r>
    </w:p>
    <w:tbl>
      <w:tblPr>
        <w:tblStyle w:val="TableGrid"/>
        <w:tblW w:w="9350" w:type="dxa"/>
        <w:tblBorders>
          <w:top w:val="single" w:sz="4" w:color="D9DCE1"/>
          <w:left w:val="single" w:sz="4" w:color="D9DCE1"/>
          <w:bottom w:val="single" w:sz="4" w:color="D9DCE1"/>
          <w:right w:val="single" w:sz="4" w:color="D9DCE1"/>
          <w:insideH w:val="single" w:sz="4" w:color="D9DCE1"/>
          <w:insideV w:val="single" w:sz="4" w:color="D9DCE1"/>
        </w:tblBorders>
      </w:tblPr>
      <w:tblGrid>
        <w:gridCol w:w="4675"/>
        <w:gridCol w:w="4675"/>
      </w:tblGrid>
      <w:tr>
        <w:tc>
          <w:tcPr>
            <w:tcW w:w="4675" w:type="dxa"/>
            <w:shd w:val="clear" w:fill="1F2A37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4675" w:type="dxa"/>
            <w:shd w:val="clear" w:fill="1F2A37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401</w:t>
            </w:r>
          </w:p>
        </w:tc>
        <w:tc>
          <w:tcPr>
            <w:tcW w:w="4675" w:type="dxa"/>
          </w:tcPr>
          <w:p>
            <w:r>
              <w:rPr/>
              <w:t xml:space="preserve">Your key was not recognised at all — check the header name and value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403</w:t>
            </w:r>
          </w:p>
        </w:tc>
        <w:tc>
          <w:tcPr>
            <w:tcW w:w="4675" w:type="dxa"/>
          </w:tcPr>
          <w:p>
            <w:r>
              <w:rPr/>
              <w:t xml:space="preserve">Your key was recognised but does not have the scope for what you tried to do</w:t>
            </w:r>
          </w:p>
        </w:tc>
      </w:tr>
      <w:tr>
        <w:tc>
          <w:tcPr>
            <w:tcW w:w="4675" w:type="dxa"/>
          </w:tcPr>
          <w:p>
            <w:r>
              <w:rPr/>
              <w:t xml:space="preserve">404</w:t>
            </w:r>
          </w:p>
        </w:tc>
        <w:tc>
          <w:tcPr>
            <w:tcW w:w="4675" w:type="dxa"/>
          </w:tcPr>
          <w:p>
            <w:r>
              <w:rPr/>
              <w:t xml:space="preserve">Either the thing does not exist, or it belongs to a different organisation — deliberately indistinguishable, so a wrong guess cannot be used to confirm another company data exists</w:t>
            </w:r>
          </w:p>
        </w:tc>
      </w:tr>
    </w:tbl>
    <w:p/>
    <w:p>
      <w:pPr>
        <w:pStyle w:val="H1"/>
      </w:pPr>
      <w:r>
        <w:rPr/>
        <w:t xml:space="preserve">Worth knowing before you build against this</w:t>
      </w:r>
    </w:p>
    <w:p>
      <w:pPr>
        <w:pStyle w:val="ListParagraph"/>
        <w:numPr>
          <w:ilvl w:val="0"/>
          <w:numId w:val="1"/>
        </w:numPr>
      </w:pPr>
      <w:r>
        <w:rPr/>
        <w:t xml:space="preserve">Rate limits are currently applied per IP address, not per API key — if you share an IP with other traffic, be mindful of overall volume.</w:t>
      </w:r>
    </w:p>
    <w:p>
      <w:pPr>
        <w:pStyle w:val="ListParagraph"/>
        <w:numPr>
          <w:ilvl w:val="0"/>
          <w:numId w:val="1"/>
        </w:numPr>
      </w:pPr>
      <w:r>
        <w:rPr/>
        <w:t xml:space="preserve">Q-Mgr does not call back out to your system yet. If you need to know the moment a ticket is called or cancelled, poll for it — there is no webhook to register for that today.</w:t>
      </w:r>
    </w:p>
    <w:p>
      <w:pPr>
        <w:pStyle w:val="H1"/>
      </w:pPr>
      <w:r>
        <w:rPr/>
        <w:t xml:space="preserve">Questions</w:t>
      </w:r>
    </w:p>
    <w:p>
      <w:pPr/>
      <w:r>
        <w:rPr/>
        <w:t xml:space="preserve">support@getsacc.com</w:t>
      </w:r>
    </w:p>
    <w:sectPr>
      <w:pgSz w:w="12240" w:h="15840"/>
      <w:pgMar w:top="1000" w:right="1200" w:bottom="1000" w:left="12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pPr>
        <w:ind w:left="720" w:hanging="360"/>
      </w:pPr>
      <w:rPr>
        <w:rFonts w:ascii="Segoe UI Symbol" w:hAnsi="Segoe UI 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US"/>
      </w:rPr>
    </w:rPrDefault>
    <w:pPrDefault>
      <w:pPr>
        <w:spacing w:after="160" w:line="288" w:lineRule="auto"/>
      </w:pPr>
    </w:pPrDefault>
  </w:docDefaults>
  <w:style w:type="paragraph" w:default="1" w:styleId="Normal">
    <w:name w:val="Normal"/>
  </w:style>
  <w:style w:type="paragraph" w:styleId="DocTitle">
    <w:name w:val="Doc Title"/>
    <w:basedOn w:val="Normal"/>
    <w:pPr>
      <w:spacing w:before="0" w:after="60"/>
    </w:pPr>
    <w:rPr>
      <w:rFonts w:ascii="Calibri Light" w:hAnsi="Calibri Light"/>
      <w:b/>
      <w:color w:val="1F2A37"/>
      <w:sz w:val="44"/>
    </w:rPr>
  </w:style>
  <w:style w:type="paragraph" w:styleId="DocSubtitle">
    <w:name w:val="Doc Subtitle"/>
    <w:basedOn w:val="Normal"/>
    <w:pPr>
      <w:spacing w:before="0" w:after="60"/>
    </w:pPr>
    <w:rPr>
      <w:color w:val="6B4A57"/>
      <w:sz w:val="30"/>
    </w:rPr>
  </w:style>
  <w:style w:type="paragraph" w:styleId="DocMeta">
    <w:name w:val="Doc Meta"/>
    <w:basedOn w:val="Normal"/>
    <w:pPr>
      <w:spacing w:before="0" w:after="480"/>
      <w:pBdr>
        <w:bottom w:val="single" w:sz="6" w:space="12" w:color="D9DCE1"/>
      </w:pBdr>
    </w:pPr>
    <w:rPr>
      <w:color w:val="6B7280"/>
      <w:sz w:val="20"/>
    </w:rPr>
  </w:style>
  <w:style w:type="paragraph" w:styleId="H1">
    <w:name w:val="heading 1"/>
    <w:basedOn w:val="Normal"/>
    <w:pPr>
      <w:spacing w:before="360" w:after="160"/>
      <w:keepNext/>
    </w:pPr>
    <w:rPr>
      <w:rFonts w:ascii="Calibri Light" w:hAnsi="Calibri Light"/>
      <w:b/>
      <w:color w:val="7A2847"/>
      <w:sz w:val="30"/>
    </w:rPr>
  </w:style>
  <w:style w:type="paragraph" w:styleId="H2">
    <w:name w:val="heading 2"/>
    <w:basedOn w:val="Normal"/>
    <w:pPr>
      <w:spacing w:before="240" w:after="120"/>
      <w:keepNext/>
    </w:pPr>
    <w:rPr>
      <w:b/>
      <w:color w:val="1F2A37"/>
      <w:sz w:val="24"/>
    </w:rPr>
  </w:style>
  <w:style w:type="paragraph" w:styleId="CodeBlock">
    <w:name w:val="Code Block"/>
    <w:basedOn w:val="Normal"/>
    <w:pPr>
      <w:spacing w:before="0" w:after="0"/>
      <w:shd w:val="clear" w:fill="F5F6F8"/>
      <w:ind w:left="120" w:right="120"/>
    </w:pPr>
    <w:rPr>
      <w:rFonts w:ascii="Consolas" w:hAnsi="Consolas"/>
      <w:color w:val="1F2A37"/>
      <w:sz w:val="19"/>
    </w:rPr>
  </w:style>
  <w:style w:type="paragraph" w:styleId="ListParagraph">
    <w:name w:val="List Paragraph"/>
    <w:basedOn w:val="Normal"/>
    <w:pPr>
      <w:spacing w:after="80"/>
    </w:pPr>
  </w:style>
  <w:style w:type="table" w:styleId="TableGrid">
    <w:name w:val="Table Grid"/>
    <w:tblPr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Company>SACC Software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Q-Mgr API Integration Guide</dc:title>
  <dc:creator>SACC Software Limited</dc:creator>
  <dc:subject>API Integration</dc:subject>
  <dcterms:created xsi:type="dcterms:W3CDTF">2026-08-25T00:00:00Z</dcterms:created>
  <dcterms:modified xsi:type="dcterms:W3CDTF">2026-08-25T00:00:00Z</dcterms:modified>
</cp:coreProperties>
</file>