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Thesis tables and figures</w:t>
      </w:r>
    </w:p>
    <w:p>
      <w:pPr>
        <w:pStyle w:val="TableNote"/>
      </w:pPr>
      <w:r>
        <w:t xml:space="preserve">Tables and figures for the thesis draft of 2026-10-22, in the order of the planning list (T1–T10, F1–F13). Each item begins with a grey placement line (remove it after pasting). Captions use the thesis styles 'Table Title' and 'Caption' with SEQ fields, so the List of Tables and List of Figures pick them up; press F9 after pasting to renumber.</w:t>
      </w:r>
    </w:p>
    <w:p>
      <w:pPr>
        <w:pStyle w:val="TableNote"/>
      </w:pPr>
      <w:r>
        <w:t xml:space="preserve">All values are read from the frozen Patch 22.4.3.2 records of the selected state (Candidate 1) and the committee package. Sizes in µm use the nominal, unvalidated 8 µm/px camera scale.</w:t>
      </w:r>
    </w:p>
    <w:p>
      <w:pPr>
        <w:pStyle w:val="Placement"/>
      </w:pPr>
      <w:r>
        <w:t xml:space="preserve">T1 · §3.2.1, after the paragraph on hatch spacing and spot diameter (end of the section)</w:t>
      </w:r>
    </w:p>
    <w:p>
      <w:pPr>
        <w:pStyle w:val="TableTitle"/>
      </w:pPr>
      <w:r>
        <w:t xml:space="preserve">Table </w:t>
      </w:r>
      <w:r>
        <w:fldChar w:fldCharType="begin"/>
      </w:r>
      <w:r>
        <w:instrText xml:space="preserve"> SEQ Table \* ARABIC </w:instrText>
      </w:r>
      <w:r>
        <w:fldChar w:fldCharType="separate"/>
      </w:r>
      <w:r>
        <w:t>1</w:t>
      </w:r>
      <w:r>
        <w:fldChar w:fldCharType="end"/>
      </w:r>
      <w:r>
        <w:t xml:space="preserve">. LPBF experimental setup and fixed process parameters</w:t>
      </w:r>
    </w:p>
    <w:tbl>
      <w:tblPr>
        <w:tblW w:w="9000" w:type="dxa"/>
        <w:tblLayout w:type="fixed"/>
        <w:tblBorders>
          <w:top w:val="single" w:sz="8" w:space="0" w:color="000000"/>
          <w:bottom w:val="single" w:sz="8" w:space="0" w:color="000000"/>
        </w:tblBorders>
        <w:tblCellMar>
          <w:left w:w="70" w:type="dxa"/>
          <w:right w:w="70" w:type="dxa"/>
        </w:tblCellMar>
        <w:tblLook w:val="0000" w:firstRow="0" w:lastRow="0" w:firstColumn="0" w:lastColumn="0" w:noHBand="1" w:noVBand="1"/>
      </w:tblPr>
      <w:tblGrid>
        <w:gridCol w:w="3060"/>
        <w:gridCol w:w="5940"/>
      </w:tblGrid>
      <w:tr>
        <w:trPr>
          <w:tblHeader/>
          <w:cantSplit/>
        </w:trPr>
        <w:tc>
          <w:tcPr>
            <w:tcW w:w="3060" w:type="dxa"/>
            <w:tcBorders>
              <w:bottom w:val="single" w:sz="6" w:space="0" w:color="000000"/>
            </w:tcBorders>
            <w:vAlign w:val="bottom"/>
          </w:tcPr>
          <w:p>
            <w:pPr>
              <w:pStyle w:val="TableText"/>
            </w:pPr>
            <w:r>
              <w:rPr>
                <w:b/>
              </w:rPr>
              <w:t xml:space="preserve">Parameter</w:t>
            </w:r>
          </w:p>
        </w:tc>
        <w:tc>
          <w:tcPr>
            <w:tcW w:w="5940" w:type="dxa"/>
            <w:tcBorders>
              <w:bottom w:val="single" w:sz="6" w:space="0" w:color="000000"/>
            </w:tcBorders>
            <w:vAlign w:val="bottom"/>
          </w:tcPr>
          <w:p>
            <w:pPr>
              <w:pStyle w:val="TableText"/>
            </w:pPr>
            <w:r>
              <w:rPr>
                <w:b/>
              </w:rPr>
              <w:t xml:space="preserve">Value</w:t>
            </w:r>
          </w:p>
        </w:tc>
      </w:tr>
      <w:tr>
        <w:trPr>
          <w:cantSplit/>
        </w:trPr>
        <w:tc>
          <w:tcPr>
            <w:tcW w:w="3060" w:type="dxa"/>
          </w:tcPr>
          <w:p>
            <w:pPr>
              <w:pStyle w:val="TableText"/>
            </w:pPr>
            <w:r>
              <w:t xml:space="preserve">Machine</w:t>
            </w:r>
          </w:p>
        </w:tc>
        <w:tc>
          <w:tcPr>
            <w:tcW w:w="5940" w:type="dxa"/>
          </w:tcPr>
          <w:p>
            <w:pPr>
              <w:pStyle w:val="TableText"/>
            </w:pPr>
            <w:r>
              <w:t xml:space="preserve">Aconity Mini laser powder bed fusion system</w:t>
            </w:r>
          </w:p>
        </w:tc>
      </w:tr>
      <w:tr>
        <w:trPr>
          <w:cantSplit/>
        </w:trPr>
        <w:tc>
          <w:tcPr>
            <w:tcW w:w="3060" w:type="dxa"/>
          </w:tcPr>
          <w:p>
            <w:pPr>
              <w:pStyle w:val="TableText"/>
            </w:pPr>
            <w:r>
              <w:t xml:space="preserve">Laser wavelength</w:t>
            </w:r>
          </w:p>
        </w:tc>
        <w:tc>
          <w:tcPr>
            <w:tcW w:w="5940" w:type="dxa"/>
          </w:tcPr>
          <w:p>
            <w:pPr>
              <w:pStyle w:val="TableText"/>
            </w:pPr>
            <w:r>
              <w:t xml:space="preserve">1070 nm</w:t>
            </w:r>
          </w:p>
        </w:tc>
      </w:tr>
      <w:tr>
        <w:trPr>
          <w:cantSplit/>
        </w:trPr>
        <w:tc>
          <w:tcPr>
            <w:tcW w:w="3060" w:type="dxa"/>
          </w:tcPr>
          <w:p>
            <w:pPr>
              <w:pStyle w:val="TableText"/>
            </w:pPr>
            <w:r>
              <w:t xml:space="preserve">Laser spot diameter (nominal)</w:t>
            </w:r>
          </w:p>
        </w:tc>
        <w:tc>
          <w:tcPr>
            <w:tcW w:w="5940" w:type="dxa"/>
          </w:tcPr>
          <w:p>
            <w:pPr>
              <w:pStyle w:val="TableText"/>
            </w:pPr>
            <w:r>
              <w:t xml:space="preserve">80 µm, all coupons</w:t>
            </w:r>
          </w:p>
        </w:tc>
      </w:tr>
      <w:tr>
        <w:trPr>
          <w:cantSplit/>
        </w:trPr>
        <w:tc>
          <w:tcPr>
            <w:tcW w:w="3060" w:type="dxa"/>
          </w:tcPr>
          <w:p>
            <w:pPr>
              <w:pStyle w:val="TableText"/>
            </w:pPr>
            <w:r>
              <w:t xml:space="preserve">Feedstock</w:t>
            </w:r>
          </w:p>
        </w:tc>
        <w:tc>
          <w:tcPr>
            <w:tcW w:w="5940" w:type="dxa"/>
          </w:tcPr>
          <w:p>
            <w:pPr>
              <w:pStyle w:val="TableText"/>
            </w:pPr>
            <w:r>
              <w:t xml:space="preserve">m4p 316L.03 stainless steel powder</w:t>
            </w:r>
          </w:p>
        </w:tc>
      </w:tr>
      <w:tr>
        <w:trPr>
          <w:cantSplit/>
        </w:trPr>
        <w:tc>
          <w:tcPr>
            <w:tcW w:w="3060" w:type="dxa"/>
          </w:tcPr>
          <w:p>
            <w:pPr>
              <w:pStyle w:val="TableText"/>
            </w:pPr>
            <w:r>
              <w:t xml:space="preserve">Build plate</w:t>
            </w:r>
          </w:p>
        </w:tc>
        <w:tc>
          <w:tcPr>
            <w:tcW w:w="5940" w:type="dxa"/>
          </w:tcPr>
          <w:p>
            <w:pPr>
              <w:pStyle w:val="TableText"/>
            </w:pPr>
            <w:r>
              <w:t xml:space="preserve">316L stainless steel</w:t>
            </w:r>
          </w:p>
        </w:tc>
      </w:tr>
      <w:tr>
        <w:trPr>
          <w:cantSplit/>
        </w:trPr>
        <w:tc>
          <w:tcPr>
            <w:tcW w:w="3060" w:type="dxa"/>
          </w:tcPr>
          <w:p>
            <w:pPr>
              <w:pStyle w:val="TableText"/>
            </w:pPr>
            <w:r>
              <w:t xml:space="preserve">Atmosphere</w:t>
            </w:r>
          </w:p>
        </w:tc>
        <w:tc>
          <w:tcPr>
            <w:tcW w:w="5940" w:type="dxa"/>
          </w:tcPr>
          <w:p>
            <w:pPr>
              <w:pStyle w:val="TableText"/>
            </w:pPr>
            <w:r>
              <w:t xml:space="preserve">Argon, O₂ &lt; 300 ppm</w:t>
            </w:r>
          </w:p>
        </w:tc>
      </w:tr>
      <w:tr>
        <w:trPr>
          <w:cantSplit/>
        </w:trPr>
        <w:tc>
          <w:tcPr>
            <w:tcW w:w="3060" w:type="dxa"/>
          </w:tcPr>
          <w:p>
            <w:pPr>
              <w:pStyle w:val="TableText"/>
            </w:pPr>
            <w:r>
              <w:t xml:space="preserve">Fume extraction</w:t>
            </w:r>
          </w:p>
        </w:tc>
        <w:tc>
          <w:tcPr>
            <w:tcW w:w="5940" w:type="dxa"/>
          </w:tcPr>
          <w:p>
            <w:pPr>
              <w:pStyle w:val="TableText"/>
            </w:pPr>
            <w:r>
              <w:t xml:space="preserve">Pump at 50% duty cycle</w:t>
            </w:r>
          </w:p>
        </w:tc>
      </w:tr>
      <w:tr>
        <w:trPr>
          <w:cantSplit/>
        </w:trPr>
        <w:tc>
          <w:tcPr>
            <w:tcW w:w="3060" w:type="dxa"/>
          </w:tcPr>
          <w:p>
            <w:pPr>
              <w:pStyle w:val="TableText"/>
            </w:pPr>
            <w:r>
              <w:t xml:space="preserve">Coupon geometry (programmed)</w:t>
            </w:r>
          </w:p>
        </w:tc>
        <w:tc>
          <w:tcPr>
            <w:tcW w:w="5940" w:type="dxa"/>
          </w:tcPr>
          <w:p>
            <w:pPr>
              <w:pStyle w:val="TableText"/>
            </w:pPr>
            <w:r>
              <w:t xml:space="preserve">≈ 4 mm × 4 mm × 6.48 mm</w:t>
            </w:r>
          </w:p>
        </w:tc>
      </w:tr>
      <w:tr>
        <w:trPr>
          <w:cantSplit/>
        </w:trPr>
        <w:tc>
          <w:tcPr>
            <w:tcW w:w="3060" w:type="dxa"/>
          </w:tcPr>
          <w:p>
            <w:pPr>
              <w:pStyle w:val="TableText"/>
            </w:pPr>
            <w:r>
              <w:t xml:space="preserve">Layers per coupon</w:t>
            </w:r>
          </w:p>
        </w:tc>
        <w:tc>
          <w:tcPr>
            <w:tcW w:w="5940" w:type="dxa"/>
          </w:tcPr>
          <w:p>
            <w:pPr>
              <w:pStyle w:val="TableText"/>
            </w:pPr>
            <w:r>
              <w:t xml:space="preserve">216</w:t>
            </w:r>
          </w:p>
        </w:tc>
      </w:tr>
      <w:tr>
        <w:trPr>
          <w:cantSplit/>
        </w:trPr>
        <w:tc>
          <w:tcPr>
            <w:tcW w:w="3060" w:type="dxa"/>
          </w:tcPr>
          <w:p>
            <w:pPr>
              <w:pStyle w:val="TableText"/>
            </w:pPr>
            <w:r>
              <w:t xml:space="preserve">Layer thickness</w:t>
            </w:r>
          </w:p>
        </w:tc>
        <w:tc>
          <w:tcPr>
            <w:tcW w:w="5940" w:type="dxa"/>
          </w:tcPr>
          <w:p>
            <w:pPr>
              <w:pStyle w:val="TableText"/>
            </w:pPr>
            <w:r>
              <w:t xml:space="preserve">30 µm</w:t>
            </w:r>
          </w:p>
        </w:tc>
      </w:tr>
      <w:tr>
        <w:trPr>
          <w:cantSplit/>
        </w:trPr>
        <w:tc>
          <w:tcPr>
            <w:tcW w:w="3060" w:type="dxa"/>
          </w:tcPr>
          <w:p>
            <w:pPr>
              <w:pStyle w:val="TableText"/>
            </w:pPr>
            <w:r>
              <w:t xml:space="preserve">Hatch spacing</w:t>
            </w:r>
          </w:p>
        </w:tc>
        <w:tc>
          <w:tcPr>
            <w:tcW w:w="5940" w:type="dxa"/>
          </w:tcPr>
          <w:p>
            <w:pPr>
              <w:pStyle w:val="TableText"/>
            </w:pPr>
            <w:r>
              <w:t xml:space="preserve">80 µm</w:t>
            </w:r>
          </w:p>
        </w:tc>
      </w:tr>
      <w:tr>
        <w:trPr>
          <w:cantSplit/>
        </w:trPr>
        <w:tc>
          <w:tcPr>
            <w:tcW w:w="3060" w:type="dxa"/>
          </w:tcPr>
          <w:p>
            <w:pPr>
              <w:pStyle w:val="TableText"/>
            </w:pPr>
            <w:r>
              <w:t xml:space="preserve">Scan strategy</w:t>
            </w:r>
          </w:p>
        </w:tc>
        <w:tc>
          <w:tcPr>
            <w:tcW w:w="5940" w:type="dxa"/>
          </w:tcPr>
          <w:p>
            <w:pPr>
              <w:pStyle w:val="TableText"/>
            </w:pPr>
            <w:r>
              <w:t xml:space="preserve">Contour pass, then hatch infill; hatch direction rotates by 45° between layers (0°, 45°, 90°, 135°)</w:t>
            </w:r>
          </w:p>
        </w:tc>
      </w:tr>
      <w:tr>
        <w:trPr>
          <w:cantSplit/>
        </w:trPr>
        <w:tc>
          <w:tcPr>
            <w:tcW w:w="3060" w:type="dxa"/>
          </w:tcPr>
          <w:p>
            <w:pPr>
              <w:pStyle w:val="TableText"/>
            </w:pPr>
            <w:r>
              <w:t xml:space="preserve">Layer analysed</w:t>
            </w:r>
          </w:p>
        </w:tc>
        <w:tc>
          <w:tcPr>
            <w:tcW w:w="5940" w:type="dxa"/>
          </w:tcPr>
          <w:p>
            <w:pPr>
              <w:pStyle w:val="TableText"/>
            </w:pPr>
            <w:r>
              <w:t xml:space="preserve">Layer 53 of every coupon; 54 laser-on scan tracks per coupon (track 1 = contour)</w:t>
            </w:r>
          </w:p>
        </w:tc>
      </w:tr>
      <w:tr>
        <w:trPr>
          <w:cantSplit/>
        </w:trPr>
        <w:tc>
          <w:tcPr>
            <w:tcW w:w="3060" w:type="dxa"/>
          </w:tcPr>
          <w:p>
            <w:pPr>
              <w:pStyle w:val="TableText"/>
            </w:pPr>
            <w:r>
              <w:t xml:space="preserve">Laser power</w:t>
            </w:r>
          </w:p>
        </w:tc>
        <w:tc>
          <w:tcPr>
            <w:tcW w:w="5940" w:type="dxa"/>
          </w:tcPr>
          <w:p>
            <w:pPr>
              <w:pStyle w:val="TableText"/>
            </w:pPr>
            <w:r>
              <w:t xml:space="preserve">140–190 W</w:t>
            </w:r>
          </w:p>
        </w:tc>
      </w:tr>
      <w:tr>
        <w:trPr>
          <w:cantSplit/>
        </w:trPr>
        <w:tc>
          <w:tcPr>
            <w:tcW w:w="3060" w:type="dxa"/>
          </w:tcPr>
          <w:p>
            <w:pPr>
              <w:pStyle w:val="TableText"/>
            </w:pPr>
            <w:r>
              <w:t xml:space="preserve">Scan speed</w:t>
            </w:r>
          </w:p>
        </w:tc>
        <w:tc>
          <w:tcPr>
            <w:tcW w:w="5940" w:type="dxa"/>
          </w:tcPr>
          <w:p>
            <w:pPr>
              <w:pStyle w:val="TableText"/>
            </w:pPr>
            <w:r>
              <w:t xml:space="preserve">600–1400 mm/s</w:t>
            </w:r>
          </w:p>
        </w:tc>
      </w:tr>
      <w:tr>
        <w:trPr>
          <w:cantSplit/>
        </w:trPr>
        <w:tc>
          <w:tcPr>
            <w:tcW w:w="3060" w:type="dxa"/>
          </w:tcPr>
          <w:p>
            <w:pPr>
              <w:pStyle w:val="TableText"/>
            </w:pPr>
            <w:r>
              <w:t xml:space="preserve">Volumetric energy density</w:t>
            </w:r>
          </w:p>
        </w:tc>
        <w:tc>
          <w:tcPr>
            <w:tcW w:w="5940" w:type="dxa"/>
          </w:tcPr>
          <w:p>
            <w:pPr>
              <w:pStyle w:val="TableText"/>
            </w:pPr>
            <w:r>
              <w:t xml:space="preserve">41.7–125.0 J/mm³ (24 coupons, 18 conditions)</w:t>
            </w:r>
          </w:p>
        </w:tc>
      </w:tr>
      <w:tr>
        <w:trPr>
          <w:cantSplit/>
        </w:trPr>
        <w:tc>
          <w:tcPr>
            <w:tcW w:w="3060" w:type="dxa"/>
          </w:tcPr>
          <w:p>
            <w:pPr>
              <w:pStyle w:val="TableText"/>
            </w:pPr>
            <w:r>
              <w:t xml:space="preserve">Process data acquisition</w:t>
            </w:r>
          </w:p>
        </w:tc>
        <w:tc>
          <w:tcPr>
            <w:tcW w:w="5940" w:type="dxa"/>
          </w:tcPr>
          <w:p>
            <w:pPr>
              <w:pStyle w:val="TableText"/>
            </w:pPr>
            <w:r>
              <w:t xml:space="preserve">200 kHz</w:t>
            </w:r>
          </w:p>
        </w:tc>
      </w:tr>
      <w:tr>
        <w:trPr>
          <w:cantSplit/>
        </w:trPr>
        <w:tc>
          <w:tcPr>
            <w:tcW w:w="3060" w:type="dxa"/>
          </w:tcPr>
          <w:p>
            <w:pPr>
              <w:pStyle w:val="TableText"/>
            </w:pPr>
            <w:r>
              <w:t xml:space="preserve">Coaxial camera</w:t>
            </w:r>
          </w:p>
        </w:tc>
        <w:tc>
          <w:tcPr>
            <w:tcW w:w="5940" w:type="dxa"/>
          </w:tcPr>
          <w:p>
            <w:pPr>
              <w:pStyle w:val="TableText"/>
            </w:pPr>
            <w:r>
              <w:t xml:space="preserve">Teledyne DALSA Genie Nano M640-NIR, 8-bit; 64 × 24 px region; ≈ 8 kHz; 40 µs exposure</w:t>
            </w:r>
          </w:p>
        </w:tc>
      </w:tr>
      <w:tr>
        <w:trPr>
          <w:cantSplit/>
        </w:trPr>
        <w:tc>
          <w:tcPr>
            <w:tcW w:w="3060" w:type="dxa"/>
          </w:tcPr>
          <w:p>
            <w:pPr>
              <w:pStyle w:val="TableText"/>
            </w:pPr>
            <w:r>
              <w:t xml:space="preserve">Camera scale (nominal)</w:t>
            </w:r>
          </w:p>
        </w:tc>
        <w:tc>
          <w:tcPr>
            <w:tcW w:w="5940" w:type="dxa"/>
          </w:tcPr>
          <w:p>
            <w:pPr>
              <w:pStyle w:val="TableText"/>
            </w:pPr>
            <w:r>
              <w:t xml:space="preserve">8 µm/px, not independently calibrated</w:t>
            </w:r>
          </w:p>
        </w:tc>
      </w:tr>
    </w:tbl>
    <w:p>
      <w:pPr>
        <w:pStyle w:val="TableNote"/>
      </w:pPr>
    </w:p>
    <w:p>
      <w:pPr>
        <w:pStyle w:val="Placement"/>
      </w:pPr>
      <w:r>
        <w:t xml:space="preserve">T2 · §3.2.2, first PLACEHOLDER (after the paragraph on the July and September campaigns)</w:t>
      </w:r>
    </w:p>
    <w:p>
      <w:pPr>
        <w:pStyle w:val="TableTitle"/>
      </w:pPr>
      <w:r>
        <w:t xml:space="preserve">Table </w:t>
      </w:r>
      <w:r>
        <w:fldChar w:fldCharType="begin"/>
      </w:r>
      <w:r>
        <w:instrText xml:space="preserve"> SEQ Table \* ARABIC </w:instrText>
      </w:r>
      <w:r>
        <w:fldChar w:fldCharType="separate"/>
      </w:r>
      <w:r>
        <w:t>2</w:t>
      </w:r>
      <w:r>
        <w:fldChar w:fldCharType="end"/>
      </w:r>
      <w:r>
        <w:t xml:space="preserve">. Experimental coupon matrix</w:t>
      </w:r>
    </w:p>
    <w:tbl>
      <w:tblPr>
        <w:tblW w:w="9000" w:type="dxa"/>
        <w:tblLayout w:type="fixed"/>
        <w:tblBorders>
          <w:top w:val="single" w:sz="8" w:space="0" w:color="000000"/>
          <w:bottom w:val="single" w:sz="8" w:space="0" w:color="000000"/>
        </w:tblBorders>
        <w:tblCellMar>
          <w:left w:w="70" w:type="dxa"/>
          <w:right w:w="70" w:type="dxa"/>
        </w:tblCellMar>
        <w:tblLook w:val="0000" w:firstRow="0" w:lastRow="0" w:firstColumn="0" w:lastColumn="0" w:noHBand="1" w:noVBand="1"/>
      </w:tblPr>
      <w:tblGrid>
        <w:gridCol w:w="900"/>
        <w:gridCol w:w="540"/>
        <w:gridCol w:w="630"/>
        <w:gridCol w:w="900"/>
        <w:gridCol w:w="900"/>
        <w:gridCol w:w="1440"/>
        <w:gridCol w:w="1170"/>
        <w:gridCol w:w="2520"/>
      </w:tblGrid>
      <w:tr>
        <w:trPr>
          <w:tblHeader/>
          <w:cantSplit/>
        </w:trPr>
        <w:tc>
          <w:tcPr>
            <w:tcW w:w="900" w:type="dxa"/>
            <w:tcBorders>
              <w:bottom w:val="single" w:sz="6" w:space="0" w:color="000000"/>
            </w:tcBorders>
            <w:vAlign w:val="bottom"/>
          </w:tcPr>
          <w:p>
            <w:pPr>
              <w:pStyle w:val="TableText"/>
            </w:pPr>
            <w:r>
              <w:rPr>
                <w:b/>
              </w:rPr>
              <w:t xml:space="preserve">Date (2026)</w:t>
            </w:r>
          </w:p>
        </w:tc>
        <w:tc>
          <w:tcPr>
            <w:tcW w:w="540" w:type="dxa"/>
            <w:tcBorders>
              <w:bottom w:val="single" w:sz="6" w:space="0" w:color="000000"/>
            </w:tcBorders>
            <w:vAlign w:val="bottom"/>
          </w:tcPr>
          <w:p>
            <w:pPr>
              <w:pStyle w:val="TableText"/>
              <w:jc w:val="center"/>
            </w:pPr>
            <w:r>
              <w:rPr>
                <w:b/>
              </w:rPr>
              <w:t xml:space="preserve">Part</w:t>
            </w:r>
          </w:p>
        </w:tc>
        <w:tc>
          <w:tcPr>
            <w:tcW w:w="630" w:type="dxa"/>
            <w:tcBorders>
              <w:bottom w:val="single" w:sz="6" w:space="0" w:color="000000"/>
            </w:tcBorders>
            <w:vAlign w:val="bottom"/>
          </w:tcPr>
          <w:p>
            <w:pPr>
              <w:pStyle w:val="TableText"/>
              <w:jc w:val="center"/>
            </w:pPr>
            <w:r>
              <w:rPr>
                <w:b/>
              </w:rPr>
              <w:t xml:space="preserve">P (W)</w:t>
            </w:r>
          </w:p>
        </w:tc>
        <w:tc>
          <w:tcPr>
            <w:tcW w:w="900" w:type="dxa"/>
            <w:tcBorders>
              <w:bottom w:val="single" w:sz="6" w:space="0" w:color="000000"/>
            </w:tcBorders>
            <w:vAlign w:val="bottom"/>
          </w:tcPr>
          <w:p>
            <w:pPr>
              <w:pStyle w:val="TableText"/>
              <w:jc w:val="center"/>
            </w:pPr>
            <w:r>
              <w:rPr>
                <w:b/>
              </w:rPr>
              <w:t xml:space="preserve">v (mm/s)</w:t>
            </w:r>
          </w:p>
        </w:tc>
        <w:tc>
          <w:tcPr>
            <w:tcW w:w="900" w:type="dxa"/>
            <w:tcBorders>
              <w:bottom w:val="single" w:sz="6" w:space="0" w:color="000000"/>
            </w:tcBorders>
            <w:vAlign w:val="bottom"/>
          </w:tcPr>
          <w:p>
            <w:pPr>
              <w:pStyle w:val="TableText"/>
              <w:jc w:val="center"/>
            </w:pPr>
            <w:r>
              <w:rPr>
                <w:b/>
              </w:rPr>
              <w:t xml:space="preserve">VED (J/mm³)</w:t>
            </w:r>
          </w:p>
        </w:tc>
        <w:tc>
          <w:tcPr>
            <w:tcW w:w="1440" w:type="dxa"/>
            <w:tcBorders>
              <w:bottom w:val="single" w:sz="6" w:space="0" w:color="000000"/>
            </w:tcBorders>
            <w:vAlign w:val="bottom"/>
          </w:tcPr>
          <w:p>
            <w:pPr>
              <w:pStyle w:val="TableText"/>
            </w:pPr>
            <w:r>
              <w:rPr>
                <w:b/>
              </w:rPr>
              <w:t xml:space="preserve">Campaign</w:t>
            </w:r>
          </w:p>
        </w:tc>
        <w:tc>
          <w:tcPr>
            <w:tcW w:w="1170" w:type="dxa"/>
            <w:tcBorders>
              <w:bottom w:val="single" w:sz="6" w:space="0" w:color="000000"/>
            </w:tcBorders>
            <w:vAlign w:val="bottom"/>
          </w:tcPr>
          <w:p>
            <w:pPr>
              <w:pStyle w:val="TableText"/>
              <w:jc w:val="center"/>
            </w:pPr>
            <w:r>
              <w:rPr>
                <w:b/>
              </w:rPr>
              <w:t xml:space="preserve">Replicate</w:t>
            </w:r>
          </w:p>
        </w:tc>
        <w:tc>
          <w:tcPr>
            <w:tcW w:w="2520" w:type="dxa"/>
            <w:tcBorders>
              <w:bottom w:val="single" w:sz="6" w:space="0" w:color="000000"/>
            </w:tcBorders>
            <w:vAlign w:val="bottom"/>
          </w:tcPr>
          <w:p>
            <w:pPr>
              <w:pStyle w:val="TableText"/>
            </w:pPr>
            <w:r>
              <w:rPr>
                <w:b/>
              </w:rPr>
              <w:t xml:space="preserve">Analysis role</w:t>
            </w:r>
          </w:p>
        </w:tc>
      </w:tr>
      <w:tr>
        <w:trPr>
          <w:cantSplit/>
        </w:trPr>
        <w:tc>
          <w:tcPr>
            <w:tcW w:w="900" w:type="dxa"/>
          </w:tcPr>
          <w:p>
            <w:pPr>
              <w:pStyle w:val="TableText"/>
            </w:pPr>
            <w:r>
              <w:t xml:space="preserve">Jul 30</w:t>
            </w:r>
          </w:p>
        </w:tc>
        <w:tc>
          <w:tcPr>
            <w:tcW w:w="540" w:type="dxa"/>
          </w:tcPr>
          <w:p>
            <w:pPr>
              <w:pStyle w:val="TableText"/>
              <w:jc w:val="center"/>
            </w:pPr>
            <w:r>
              <w:t xml:space="preserve">1</w:t>
            </w:r>
          </w:p>
        </w:tc>
        <w:tc>
          <w:tcPr>
            <w:tcW w:w="630" w:type="dxa"/>
          </w:tcPr>
          <w:p>
            <w:pPr>
              <w:pStyle w:val="TableText"/>
              <w:jc w:val="center"/>
            </w:pPr>
            <w:r>
              <w:t xml:space="preserve">140</w:t>
            </w:r>
          </w:p>
        </w:tc>
        <w:tc>
          <w:tcPr>
            <w:tcW w:w="900" w:type="dxa"/>
          </w:tcPr>
          <w:p>
            <w:pPr>
              <w:pStyle w:val="TableText"/>
              <w:jc w:val="center"/>
            </w:pPr>
            <w:r>
              <w:t xml:space="preserve">850</w:t>
            </w:r>
          </w:p>
        </w:tc>
        <w:tc>
          <w:tcPr>
            <w:tcW w:w="900" w:type="dxa"/>
          </w:tcPr>
          <w:p>
            <w:pPr>
              <w:pStyle w:val="TableText"/>
              <w:jc w:val="center"/>
            </w:pPr>
            <w:r>
              <w:t xml:space="preserve">68.6</w:t>
            </w:r>
          </w:p>
        </w:tc>
        <w:tc>
          <w:tcPr>
            <w:tcW w:w="1440" w:type="dxa"/>
          </w:tcPr>
          <w:p>
            <w:pPr>
              <w:pStyle w:val="TableText"/>
            </w:pPr>
            <w:r>
              <w:t xml:space="preserve">repeated set</w:t>
            </w:r>
          </w:p>
        </w:tc>
        <w:tc>
          <w:tcPr>
            <w:tcW w:w="1170" w:type="dxa"/>
          </w:tcPr>
          <w:p>
            <w:pPr>
              <w:pStyle w:val="TableText"/>
              <w:jc w:val="center"/>
            </w:pPr>
            <w:r>
              <w:t xml:space="preserve">×2</w:t>
            </w:r>
          </w:p>
        </w:tc>
        <w:tc>
          <w:tcPr>
            <w:tcW w:w="2520" w:type="dxa"/>
          </w:tcPr>
          <w:p>
            <w:pPr>
              <w:pStyle w:val="TableText"/>
            </w:pPr>
            <w:r>
              <w:t xml:space="preserve">Calibration</w:t>
            </w:r>
          </w:p>
        </w:tc>
      </w:tr>
      <w:tr>
        <w:trPr>
          <w:cantSplit/>
        </w:trPr>
        <w:tc>
          <w:tcPr>
            <w:tcW w:w="900" w:type="dxa"/>
          </w:tcPr>
          <w:p>
            <w:pPr>
              <w:pStyle w:val="TableText"/>
            </w:pPr>
            <w:r>
              <w:t xml:space="preserve">Jul 30</w:t>
            </w:r>
          </w:p>
        </w:tc>
        <w:tc>
          <w:tcPr>
            <w:tcW w:w="540" w:type="dxa"/>
          </w:tcPr>
          <w:p>
            <w:pPr>
              <w:pStyle w:val="TableText"/>
              <w:jc w:val="center"/>
            </w:pPr>
            <w:r>
              <w:t xml:space="preserve">2</w:t>
            </w:r>
          </w:p>
        </w:tc>
        <w:tc>
          <w:tcPr>
            <w:tcW w:w="630" w:type="dxa"/>
          </w:tcPr>
          <w:p>
            <w:pPr>
              <w:pStyle w:val="TableText"/>
              <w:jc w:val="center"/>
            </w:pPr>
            <w:r>
              <w:t xml:space="preserve">150</w:t>
            </w:r>
          </w:p>
        </w:tc>
        <w:tc>
          <w:tcPr>
            <w:tcW w:w="900" w:type="dxa"/>
          </w:tcPr>
          <w:p>
            <w:pPr>
              <w:pStyle w:val="TableText"/>
              <w:jc w:val="center"/>
            </w:pPr>
            <w:r>
              <w:t xml:space="preserve">900</w:t>
            </w:r>
          </w:p>
        </w:tc>
        <w:tc>
          <w:tcPr>
            <w:tcW w:w="900" w:type="dxa"/>
          </w:tcPr>
          <w:p>
            <w:pPr>
              <w:pStyle w:val="TableText"/>
              <w:jc w:val="center"/>
            </w:pPr>
            <w:r>
              <w:t xml:space="preserve">69.4</w:t>
            </w:r>
          </w:p>
        </w:tc>
        <w:tc>
          <w:tcPr>
            <w:tcW w:w="1440" w:type="dxa"/>
          </w:tcPr>
          <w:p>
            <w:pPr>
              <w:pStyle w:val="TableText"/>
            </w:pPr>
            <w:r>
              <w:t xml:space="preserve">repeated set</w:t>
            </w:r>
          </w:p>
        </w:tc>
        <w:tc>
          <w:tcPr>
            <w:tcW w:w="1170" w:type="dxa"/>
          </w:tcPr>
          <w:p>
            <w:pPr>
              <w:pStyle w:val="TableText"/>
              <w:jc w:val="center"/>
            </w:pPr>
            <w:r>
              <w:t xml:space="preserve">×2</w:t>
            </w:r>
          </w:p>
        </w:tc>
        <w:tc>
          <w:tcPr>
            <w:tcW w:w="2520" w:type="dxa"/>
          </w:tcPr>
          <w:p>
            <w:pPr>
              <w:pStyle w:val="TableText"/>
            </w:pPr>
            <w:r>
              <w:t xml:space="preserve">Held out, in window</w:t>
            </w:r>
          </w:p>
        </w:tc>
      </w:tr>
      <w:tr>
        <w:trPr>
          <w:cantSplit/>
        </w:trPr>
        <w:tc>
          <w:tcPr>
            <w:tcW w:w="900" w:type="dxa"/>
          </w:tcPr>
          <w:p>
            <w:pPr>
              <w:pStyle w:val="TableText"/>
            </w:pPr>
            <w:r>
              <w:t xml:space="preserve">Jul 30</w:t>
            </w:r>
          </w:p>
        </w:tc>
        <w:tc>
          <w:tcPr>
            <w:tcW w:w="540" w:type="dxa"/>
          </w:tcPr>
          <w:p>
            <w:pPr>
              <w:pStyle w:val="TableText"/>
              <w:jc w:val="center"/>
            </w:pPr>
            <w:r>
              <w:t xml:space="preserve">3</w:t>
            </w:r>
          </w:p>
        </w:tc>
        <w:tc>
          <w:tcPr>
            <w:tcW w:w="630" w:type="dxa"/>
          </w:tcPr>
          <w:p>
            <w:pPr>
              <w:pStyle w:val="TableText"/>
              <w:jc w:val="center"/>
            </w:pPr>
            <w:r>
              <w:t xml:space="preserve">160</w:t>
            </w:r>
          </w:p>
        </w:tc>
        <w:tc>
          <w:tcPr>
            <w:tcW w:w="900" w:type="dxa"/>
          </w:tcPr>
          <w:p>
            <w:pPr>
              <w:pStyle w:val="TableText"/>
              <w:jc w:val="center"/>
            </w:pPr>
            <w:r>
              <w:t xml:space="preserve">950</w:t>
            </w:r>
          </w:p>
        </w:tc>
        <w:tc>
          <w:tcPr>
            <w:tcW w:w="900" w:type="dxa"/>
          </w:tcPr>
          <w:p>
            <w:pPr>
              <w:pStyle w:val="TableText"/>
              <w:jc w:val="center"/>
            </w:pPr>
            <w:r>
              <w:t xml:space="preserve">70.2</w:t>
            </w:r>
          </w:p>
        </w:tc>
        <w:tc>
          <w:tcPr>
            <w:tcW w:w="1440" w:type="dxa"/>
          </w:tcPr>
          <w:p>
            <w:pPr>
              <w:pStyle w:val="TableText"/>
            </w:pPr>
            <w:r>
              <w:t xml:space="preserve">repeated set</w:t>
            </w:r>
          </w:p>
        </w:tc>
        <w:tc>
          <w:tcPr>
            <w:tcW w:w="1170" w:type="dxa"/>
          </w:tcPr>
          <w:p>
            <w:pPr>
              <w:pStyle w:val="TableText"/>
              <w:jc w:val="center"/>
            </w:pPr>
            <w:r>
              <w:t xml:space="preserve">×2</w:t>
            </w:r>
          </w:p>
        </w:tc>
        <w:tc>
          <w:tcPr>
            <w:tcW w:w="2520" w:type="dxa"/>
          </w:tcPr>
          <w:p>
            <w:pPr>
              <w:pStyle w:val="TableText"/>
            </w:pPr>
            <w:r>
              <w:t xml:space="preserve">Calibration</w:t>
            </w:r>
          </w:p>
        </w:tc>
      </w:tr>
      <w:tr>
        <w:trPr>
          <w:cantSplit/>
        </w:trPr>
        <w:tc>
          <w:tcPr>
            <w:tcW w:w="900" w:type="dxa"/>
          </w:tcPr>
          <w:p>
            <w:pPr>
              <w:pStyle w:val="TableText"/>
            </w:pPr>
            <w:r>
              <w:t xml:space="preserve">Jul 30</w:t>
            </w:r>
          </w:p>
        </w:tc>
        <w:tc>
          <w:tcPr>
            <w:tcW w:w="540" w:type="dxa"/>
          </w:tcPr>
          <w:p>
            <w:pPr>
              <w:pStyle w:val="TableText"/>
              <w:jc w:val="center"/>
            </w:pPr>
            <w:r>
              <w:t xml:space="preserve">4</w:t>
            </w:r>
          </w:p>
        </w:tc>
        <w:tc>
          <w:tcPr>
            <w:tcW w:w="630" w:type="dxa"/>
          </w:tcPr>
          <w:p>
            <w:pPr>
              <w:pStyle w:val="TableText"/>
              <w:jc w:val="center"/>
            </w:pPr>
            <w:r>
              <w:t xml:space="preserve">170</w:t>
            </w:r>
          </w:p>
        </w:tc>
        <w:tc>
          <w:tcPr>
            <w:tcW w:w="900" w:type="dxa"/>
          </w:tcPr>
          <w:p>
            <w:pPr>
              <w:pStyle w:val="TableText"/>
              <w:jc w:val="center"/>
            </w:pPr>
            <w:r>
              <w:t xml:space="preserve">1000</w:t>
            </w:r>
          </w:p>
        </w:tc>
        <w:tc>
          <w:tcPr>
            <w:tcW w:w="900" w:type="dxa"/>
          </w:tcPr>
          <w:p>
            <w:pPr>
              <w:pStyle w:val="TableText"/>
              <w:jc w:val="center"/>
            </w:pPr>
            <w:r>
              <w:t xml:space="preserve">70.8</w:t>
            </w:r>
          </w:p>
        </w:tc>
        <w:tc>
          <w:tcPr>
            <w:tcW w:w="1440" w:type="dxa"/>
          </w:tcPr>
          <w:p>
            <w:pPr>
              <w:pStyle w:val="TableText"/>
            </w:pPr>
            <w:r>
              <w:t xml:space="preserve">repeated set</w:t>
            </w:r>
          </w:p>
        </w:tc>
        <w:tc>
          <w:tcPr>
            <w:tcW w:w="1170" w:type="dxa"/>
          </w:tcPr>
          <w:p>
            <w:pPr>
              <w:pStyle w:val="TableText"/>
              <w:jc w:val="center"/>
            </w:pPr>
            <w:r>
              <w:t xml:space="preserve">×2</w:t>
            </w:r>
          </w:p>
        </w:tc>
        <w:tc>
          <w:tcPr>
            <w:tcW w:w="2520" w:type="dxa"/>
          </w:tcPr>
          <w:p>
            <w:pPr>
              <w:pStyle w:val="TableText"/>
            </w:pPr>
            <w:r>
              <w:t xml:space="preserve">Held out, in window</w:t>
            </w:r>
          </w:p>
        </w:tc>
      </w:tr>
      <w:tr>
        <w:trPr>
          <w:cantSplit/>
        </w:trPr>
        <w:tc>
          <w:tcPr>
            <w:tcW w:w="900" w:type="dxa"/>
          </w:tcPr>
          <w:p>
            <w:pPr>
              <w:pStyle w:val="TableText"/>
            </w:pPr>
            <w:r>
              <w:t xml:space="preserve">Jul 30</w:t>
            </w:r>
          </w:p>
        </w:tc>
        <w:tc>
          <w:tcPr>
            <w:tcW w:w="540" w:type="dxa"/>
          </w:tcPr>
          <w:p>
            <w:pPr>
              <w:pStyle w:val="TableText"/>
              <w:jc w:val="center"/>
            </w:pPr>
            <w:r>
              <w:t xml:space="preserve">5</w:t>
            </w:r>
          </w:p>
        </w:tc>
        <w:tc>
          <w:tcPr>
            <w:tcW w:w="630" w:type="dxa"/>
          </w:tcPr>
          <w:p>
            <w:pPr>
              <w:pStyle w:val="TableText"/>
              <w:jc w:val="center"/>
            </w:pPr>
            <w:r>
              <w:t xml:space="preserve">180</w:t>
            </w:r>
          </w:p>
        </w:tc>
        <w:tc>
          <w:tcPr>
            <w:tcW w:w="900" w:type="dxa"/>
          </w:tcPr>
          <w:p>
            <w:pPr>
              <w:pStyle w:val="TableText"/>
              <w:jc w:val="center"/>
            </w:pPr>
            <w:r>
              <w:t xml:space="preserve">1050</w:t>
            </w:r>
          </w:p>
        </w:tc>
        <w:tc>
          <w:tcPr>
            <w:tcW w:w="900" w:type="dxa"/>
          </w:tcPr>
          <w:p>
            <w:pPr>
              <w:pStyle w:val="TableText"/>
              <w:jc w:val="center"/>
            </w:pPr>
            <w:r>
              <w:t xml:space="preserve">71.4</w:t>
            </w:r>
          </w:p>
        </w:tc>
        <w:tc>
          <w:tcPr>
            <w:tcW w:w="1440" w:type="dxa"/>
          </w:tcPr>
          <w:p>
            <w:pPr>
              <w:pStyle w:val="TableText"/>
            </w:pPr>
            <w:r>
              <w:t xml:space="preserve">repeated set</w:t>
            </w:r>
          </w:p>
        </w:tc>
        <w:tc>
          <w:tcPr>
            <w:tcW w:w="1170" w:type="dxa"/>
          </w:tcPr>
          <w:p>
            <w:pPr>
              <w:pStyle w:val="TableText"/>
              <w:jc w:val="center"/>
            </w:pPr>
            <w:r>
              <w:t xml:space="preserve">×2</w:t>
            </w:r>
          </w:p>
        </w:tc>
        <w:tc>
          <w:tcPr>
            <w:tcW w:w="2520" w:type="dxa"/>
          </w:tcPr>
          <w:p>
            <w:pPr>
              <w:pStyle w:val="TableText"/>
            </w:pPr>
            <w:r>
              <w:t xml:space="preserve">Calibration</w:t>
            </w:r>
          </w:p>
        </w:tc>
      </w:tr>
      <w:tr>
        <w:trPr>
          <w:cantSplit/>
        </w:trPr>
        <w:tc>
          <w:tcPr>
            <w:tcW w:w="900" w:type="dxa"/>
          </w:tcPr>
          <w:p>
            <w:pPr>
              <w:pStyle w:val="TableText"/>
            </w:pPr>
            <w:r>
              <w:t xml:space="preserve">Jul 30</w:t>
            </w:r>
          </w:p>
        </w:tc>
        <w:tc>
          <w:tcPr>
            <w:tcW w:w="540" w:type="dxa"/>
          </w:tcPr>
          <w:p>
            <w:pPr>
              <w:pStyle w:val="TableText"/>
              <w:jc w:val="center"/>
            </w:pPr>
            <w:r>
              <w:t xml:space="preserve">6</w:t>
            </w:r>
          </w:p>
        </w:tc>
        <w:tc>
          <w:tcPr>
            <w:tcW w:w="630" w:type="dxa"/>
          </w:tcPr>
          <w:p>
            <w:pPr>
              <w:pStyle w:val="TableText"/>
              <w:jc w:val="center"/>
            </w:pPr>
            <w:r>
              <w:t xml:space="preserve">190</w:t>
            </w:r>
          </w:p>
        </w:tc>
        <w:tc>
          <w:tcPr>
            <w:tcW w:w="900" w:type="dxa"/>
          </w:tcPr>
          <w:p>
            <w:pPr>
              <w:pStyle w:val="TableText"/>
              <w:jc w:val="center"/>
            </w:pPr>
            <w:r>
              <w:t xml:space="preserve">1100</w:t>
            </w:r>
          </w:p>
        </w:tc>
        <w:tc>
          <w:tcPr>
            <w:tcW w:w="900" w:type="dxa"/>
          </w:tcPr>
          <w:p>
            <w:pPr>
              <w:pStyle w:val="TableText"/>
              <w:jc w:val="center"/>
            </w:pPr>
            <w:r>
              <w:t xml:space="preserve">72.0</w:t>
            </w:r>
          </w:p>
        </w:tc>
        <w:tc>
          <w:tcPr>
            <w:tcW w:w="1440" w:type="dxa"/>
          </w:tcPr>
          <w:p>
            <w:pPr>
              <w:pStyle w:val="TableText"/>
            </w:pPr>
            <w:r>
              <w:t xml:space="preserve">repeated set</w:t>
            </w:r>
          </w:p>
        </w:tc>
        <w:tc>
          <w:tcPr>
            <w:tcW w:w="1170" w:type="dxa"/>
          </w:tcPr>
          <w:p>
            <w:pPr>
              <w:pStyle w:val="TableText"/>
              <w:jc w:val="center"/>
            </w:pPr>
            <w:r>
              <w:t xml:space="preserve">×2</w:t>
            </w:r>
          </w:p>
        </w:tc>
        <w:tc>
          <w:tcPr>
            <w:tcW w:w="2520" w:type="dxa"/>
          </w:tcPr>
          <w:p>
            <w:pPr>
              <w:pStyle w:val="TableText"/>
            </w:pPr>
            <w:r>
              <w:t xml:space="preserve">Calibration</w:t>
            </w:r>
          </w:p>
        </w:tc>
      </w:tr>
      <w:tr>
        <w:trPr>
          <w:cantSplit/>
        </w:trPr>
        <w:tc>
          <w:tcPr>
            <w:tcW w:w="900" w:type="dxa"/>
          </w:tcPr>
          <w:p>
            <w:pPr>
              <w:pStyle w:val="TableText"/>
            </w:pPr>
            <w:r>
              <w:t xml:space="preserve">Jul 31</w:t>
            </w:r>
          </w:p>
        </w:tc>
        <w:tc>
          <w:tcPr>
            <w:tcW w:w="540" w:type="dxa"/>
          </w:tcPr>
          <w:p>
            <w:pPr>
              <w:pStyle w:val="TableText"/>
              <w:jc w:val="center"/>
            </w:pPr>
            <w:r>
              <w:t xml:space="preserve">1</w:t>
            </w:r>
          </w:p>
        </w:tc>
        <w:tc>
          <w:tcPr>
            <w:tcW w:w="630" w:type="dxa"/>
          </w:tcPr>
          <w:p>
            <w:pPr>
              <w:pStyle w:val="TableText"/>
              <w:jc w:val="center"/>
            </w:pPr>
            <w:r>
              <w:t xml:space="preserve">140</w:t>
            </w:r>
          </w:p>
        </w:tc>
        <w:tc>
          <w:tcPr>
            <w:tcW w:w="900" w:type="dxa"/>
          </w:tcPr>
          <w:p>
            <w:pPr>
              <w:pStyle w:val="TableText"/>
              <w:jc w:val="center"/>
            </w:pPr>
            <w:r>
              <w:t xml:space="preserve">850</w:t>
            </w:r>
          </w:p>
        </w:tc>
        <w:tc>
          <w:tcPr>
            <w:tcW w:w="900" w:type="dxa"/>
          </w:tcPr>
          <w:p>
            <w:pPr>
              <w:pStyle w:val="TableText"/>
              <w:jc w:val="center"/>
            </w:pPr>
            <w:r>
              <w:t xml:space="preserve">68.6</w:t>
            </w:r>
          </w:p>
        </w:tc>
        <w:tc>
          <w:tcPr>
            <w:tcW w:w="1440" w:type="dxa"/>
          </w:tcPr>
          <w:p>
            <w:pPr>
              <w:pStyle w:val="TableText"/>
            </w:pPr>
            <w:r>
              <w:t xml:space="preserve">repeated set</w:t>
            </w:r>
          </w:p>
        </w:tc>
        <w:tc>
          <w:tcPr>
            <w:tcW w:w="1170" w:type="dxa"/>
          </w:tcPr>
          <w:p>
            <w:pPr>
              <w:pStyle w:val="TableText"/>
              <w:jc w:val="center"/>
            </w:pPr>
            <w:r>
              <w:t xml:space="preserve">×2</w:t>
            </w:r>
          </w:p>
        </w:tc>
        <w:tc>
          <w:tcPr>
            <w:tcW w:w="2520" w:type="dxa"/>
          </w:tcPr>
          <w:p>
            <w:pPr>
              <w:pStyle w:val="TableText"/>
            </w:pPr>
            <w:r>
              <w:t xml:space="preserve">Calibration</w:t>
            </w:r>
          </w:p>
        </w:tc>
      </w:tr>
      <w:tr>
        <w:trPr>
          <w:cantSplit/>
        </w:trPr>
        <w:tc>
          <w:tcPr>
            <w:tcW w:w="900" w:type="dxa"/>
          </w:tcPr>
          <w:p>
            <w:pPr>
              <w:pStyle w:val="TableText"/>
            </w:pPr>
            <w:r>
              <w:t xml:space="preserve">Jul 31</w:t>
            </w:r>
          </w:p>
        </w:tc>
        <w:tc>
          <w:tcPr>
            <w:tcW w:w="540" w:type="dxa"/>
          </w:tcPr>
          <w:p>
            <w:pPr>
              <w:pStyle w:val="TableText"/>
              <w:jc w:val="center"/>
            </w:pPr>
            <w:r>
              <w:t xml:space="preserve">2</w:t>
            </w:r>
          </w:p>
        </w:tc>
        <w:tc>
          <w:tcPr>
            <w:tcW w:w="630" w:type="dxa"/>
          </w:tcPr>
          <w:p>
            <w:pPr>
              <w:pStyle w:val="TableText"/>
              <w:jc w:val="center"/>
            </w:pPr>
            <w:r>
              <w:t xml:space="preserve">150</w:t>
            </w:r>
          </w:p>
        </w:tc>
        <w:tc>
          <w:tcPr>
            <w:tcW w:w="900" w:type="dxa"/>
          </w:tcPr>
          <w:p>
            <w:pPr>
              <w:pStyle w:val="TableText"/>
              <w:jc w:val="center"/>
            </w:pPr>
            <w:r>
              <w:t xml:space="preserve">900</w:t>
            </w:r>
          </w:p>
        </w:tc>
        <w:tc>
          <w:tcPr>
            <w:tcW w:w="900" w:type="dxa"/>
          </w:tcPr>
          <w:p>
            <w:pPr>
              <w:pStyle w:val="TableText"/>
              <w:jc w:val="center"/>
            </w:pPr>
            <w:r>
              <w:t xml:space="preserve">69.4</w:t>
            </w:r>
          </w:p>
        </w:tc>
        <w:tc>
          <w:tcPr>
            <w:tcW w:w="1440" w:type="dxa"/>
          </w:tcPr>
          <w:p>
            <w:pPr>
              <w:pStyle w:val="TableText"/>
            </w:pPr>
            <w:r>
              <w:t xml:space="preserve">repeated set</w:t>
            </w:r>
          </w:p>
        </w:tc>
        <w:tc>
          <w:tcPr>
            <w:tcW w:w="1170" w:type="dxa"/>
          </w:tcPr>
          <w:p>
            <w:pPr>
              <w:pStyle w:val="TableText"/>
              <w:jc w:val="center"/>
            </w:pPr>
            <w:r>
              <w:t xml:space="preserve">×2</w:t>
            </w:r>
          </w:p>
        </w:tc>
        <w:tc>
          <w:tcPr>
            <w:tcW w:w="2520" w:type="dxa"/>
          </w:tcPr>
          <w:p>
            <w:pPr>
              <w:pStyle w:val="TableText"/>
            </w:pPr>
            <w:r>
              <w:t xml:space="preserve">Held out, in window</w:t>
            </w:r>
          </w:p>
        </w:tc>
      </w:tr>
      <w:tr>
        <w:trPr>
          <w:cantSplit/>
        </w:trPr>
        <w:tc>
          <w:tcPr>
            <w:tcW w:w="900" w:type="dxa"/>
          </w:tcPr>
          <w:p>
            <w:pPr>
              <w:pStyle w:val="TableText"/>
            </w:pPr>
            <w:r>
              <w:t xml:space="preserve">Jul 31</w:t>
            </w:r>
          </w:p>
        </w:tc>
        <w:tc>
          <w:tcPr>
            <w:tcW w:w="540" w:type="dxa"/>
          </w:tcPr>
          <w:p>
            <w:pPr>
              <w:pStyle w:val="TableText"/>
              <w:jc w:val="center"/>
            </w:pPr>
            <w:r>
              <w:t xml:space="preserve">3</w:t>
            </w:r>
          </w:p>
        </w:tc>
        <w:tc>
          <w:tcPr>
            <w:tcW w:w="630" w:type="dxa"/>
          </w:tcPr>
          <w:p>
            <w:pPr>
              <w:pStyle w:val="TableText"/>
              <w:jc w:val="center"/>
            </w:pPr>
            <w:r>
              <w:t xml:space="preserve">160</w:t>
            </w:r>
          </w:p>
        </w:tc>
        <w:tc>
          <w:tcPr>
            <w:tcW w:w="900" w:type="dxa"/>
          </w:tcPr>
          <w:p>
            <w:pPr>
              <w:pStyle w:val="TableText"/>
              <w:jc w:val="center"/>
            </w:pPr>
            <w:r>
              <w:t xml:space="preserve">950</w:t>
            </w:r>
          </w:p>
        </w:tc>
        <w:tc>
          <w:tcPr>
            <w:tcW w:w="900" w:type="dxa"/>
          </w:tcPr>
          <w:p>
            <w:pPr>
              <w:pStyle w:val="TableText"/>
              <w:jc w:val="center"/>
            </w:pPr>
            <w:r>
              <w:t xml:space="preserve">70.2</w:t>
            </w:r>
          </w:p>
        </w:tc>
        <w:tc>
          <w:tcPr>
            <w:tcW w:w="1440" w:type="dxa"/>
          </w:tcPr>
          <w:p>
            <w:pPr>
              <w:pStyle w:val="TableText"/>
            </w:pPr>
            <w:r>
              <w:t xml:space="preserve">repeated set</w:t>
            </w:r>
          </w:p>
        </w:tc>
        <w:tc>
          <w:tcPr>
            <w:tcW w:w="1170" w:type="dxa"/>
          </w:tcPr>
          <w:p>
            <w:pPr>
              <w:pStyle w:val="TableText"/>
              <w:jc w:val="center"/>
            </w:pPr>
            <w:r>
              <w:t xml:space="preserve">×2</w:t>
            </w:r>
          </w:p>
        </w:tc>
        <w:tc>
          <w:tcPr>
            <w:tcW w:w="2520" w:type="dxa"/>
          </w:tcPr>
          <w:p>
            <w:pPr>
              <w:pStyle w:val="TableText"/>
            </w:pPr>
            <w:r>
              <w:t xml:space="preserve">Calibration</w:t>
            </w:r>
          </w:p>
        </w:tc>
      </w:tr>
      <w:tr>
        <w:trPr>
          <w:cantSplit/>
        </w:trPr>
        <w:tc>
          <w:tcPr>
            <w:tcW w:w="900" w:type="dxa"/>
          </w:tcPr>
          <w:p>
            <w:pPr>
              <w:pStyle w:val="TableText"/>
            </w:pPr>
            <w:r>
              <w:t xml:space="preserve">Jul 31</w:t>
            </w:r>
          </w:p>
        </w:tc>
        <w:tc>
          <w:tcPr>
            <w:tcW w:w="540" w:type="dxa"/>
          </w:tcPr>
          <w:p>
            <w:pPr>
              <w:pStyle w:val="TableText"/>
              <w:jc w:val="center"/>
            </w:pPr>
            <w:r>
              <w:t xml:space="preserve">4</w:t>
            </w:r>
          </w:p>
        </w:tc>
        <w:tc>
          <w:tcPr>
            <w:tcW w:w="630" w:type="dxa"/>
          </w:tcPr>
          <w:p>
            <w:pPr>
              <w:pStyle w:val="TableText"/>
              <w:jc w:val="center"/>
            </w:pPr>
            <w:r>
              <w:t xml:space="preserve">170</w:t>
            </w:r>
          </w:p>
        </w:tc>
        <w:tc>
          <w:tcPr>
            <w:tcW w:w="900" w:type="dxa"/>
          </w:tcPr>
          <w:p>
            <w:pPr>
              <w:pStyle w:val="TableText"/>
              <w:jc w:val="center"/>
            </w:pPr>
            <w:r>
              <w:t xml:space="preserve">1000</w:t>
            </w:r>
          </w:p>
        </w:tc>
        <w:tc>
          <w:tcPr>
            <w:tcW w:w="900" w:type="dxa"/>
          </w:tcPr>
          <w:p>
            <w:pPr>
              <w:pStyle w:val="TableText"/>
              <w:jc w:val="center"/>
            </w:pPr>
            <w:r>
              <w:t xml:space="preserve">70.8</w:t>
            </w:r>
          </w:p>
        </w:tc>
        <w:tc>
          <w:tcPr>
            <w:tcW w:w="1440" w:type="dxa"/>
          </w:tcPr>
          <w:p>
            <w:pPr>
              <w:pStyle w:val="TableText"/>
            </w:pPr>
            <w:r>
              <w:t xml:space="preserve">repeated set</w:t>
            </w:r>
          </w:p>
        </w:tc>
        <w:tc>
          <w:tcPr>
            <w:tcW w:w="1170" w:type="dxa"/>
          </w:tcPr>
          <w:p>
            <w:pPr>
              <w:pStyle w:val="TableText"/>
              <w:jc w:val="center"/>
            </w:pPr>
            <w:r>
              <w:t xml:space="preserve">×2</w:t>
            </w:r>
          </w:p>
        </w:tc>
        <w:tc>
          <w:tcPr>
            <w:tcW w:w="2520" w:type="dxa"/>
          </w:tcPr>
          <w:p>
            <w:pPr>
              <w:pStyle w:val="TableText"/>
            </w:pPr>
            <w:r>
              <w:t xml:space="preserve">Held out, in window</w:t>
            </w:r>
          </w:p>
        </w:tc>
      </w:tr>
      <w:tr>
        <w:trPr>
          <w:cantSplit/>
        </w:trPr>
        <w:tc>
          <w:tcPr>
            <w:tcW w:w="900" w:type="dxa"/>
          </w:tcPr>
          <w:p>
            <w:pPr>
              <w:pStyle w:val="TableText"/>
            </w:pPr>
            <w:r>
              <w:t xml:space="preserve">Jul 31</w:t>
            </w:r>
          </w:p>
        </w:tc>
        <w:tc>
          <w:tcPr>
            <w:tcW w:w="540" w:type="dxa"/>
          </w:tcPr>
          <w:p>
            <w:pPr>
              <w:pStyle w:val="TableText"/>
              <w:jc w:val="center"/>
            </w:pPr>
            <w:r>
              <w:t xml:space="preserve">5</w:t>
            </w:r>
          </w:p>
        </w:tc>
        <w:tc>
          <w:tcPr>
            <w:tcW w:w="630" w:type="dxa"/>
          </w:tcPr>
          <w:p>
            <w:pPr>
              <w:pStyle w:val="TableText"/>
              <w:jc w:val="center"/>
            </w:pPr>
            <w:r>
              <w:t xml:space="preserve">180</w:t>
            </w:r>
          </w:p>
        </w:tc>
        <w:tc>
          <w:tcPr>
            <w:tcW w:w="900" w:type="dxa"/>
          </w:tcPr>
          <w:p>
            <w:pPr>
              <w:pStyle w:val="TableText"/>
              <w:jc w:val="center"/>
            </w:pPr>
            <w:r>
              <w:t xml:space="preserve">1050</w:t>
            </w:r>
          </w:p>
        </w:tc>
        <w:tc>
          <w:tcPr>
            <w:tcW w:w="900" w:type="dxa"/>
          </w:tcPr>
          <w:p>
            <w:pPr>
              <w:pStyle w:val="TableText"/>
              <w:jc w:val="center"/>
            </w:pPr>
            <w:r>
              <w:t xml:space="preserve">71.4</w:t>
            </w:r>
          </w:p>
        </w:tc>
        <w:tc>
          <w:tcPr>
            <w:tcW w:w="1440" w:type="dxa"/>
          </w:tcPr>
          <w:p>
            <w:pPr>
              <w:pStyle w:val="TableText"/>
            </w:pPr>
            <w:r>
              <w:t xml:space="preserve">repeated set</w:t>
            </w:r>
          </w:p>
        </w:tc>
        <w:tc>
          <w:tcPr>
            <w:tcW w:w="1170" w:type="dxa"/>
          </w:tcPr>
          <w:p>
            <w:pPr>
              <w:pStyle w:val="TableText"/>
              <w:jc w:val="center"/>
            </w:pPr>
            <w:r>
              <w:t xml:space="preserve">×2</w:t>
            </w:r>
          </w:p>
        </w:tc>
        <w:tc>
          <w:tcPr>
            <w:tcW w:w="2520" w:type="dxa"/>
          </w:tcPr>
          <w:p>
            <w:pPr>
              <w:pStyle w:val="TableText"/>
            </w:pPr>
            <w:r>
              <w:t xml:space="preserve">Calibration</w:t>
            </w:r>
          </w:p>
        </w:tc>
      </w:tr>
      <w:tr>
        <w:trPr>
          <w:cantSplit/>
        </w:trPr>
        <w:tc>
          <w:tcPr>
            <w:tcW w:w="900" w:type="dxa"/>
          </w:tcPr>
          <w:p>
            <w:pPr>
              <w:pStyle w:val="TableText"/>
            </w:pPr>
            <w:r>
              <w:t xml:space="preserve">Jul 31</w:t>
            </w:r>
          </w:p>
        </w:tc>
        <w:tc>
          <w:tcPr>
            <w:tcW w:w="540" w:type="dxa"/>
          </w:tcPr>
          <w:p>
            <w:pPr>
              <w:pStyle w:val="TableText"/>
              <w:jc w:val="center"/>
            </w:pPr>
            <w:r>
              <w:t xml:space="preserve">6</w:t>
            </w:r>
          </w:p>
        </w:tc>
        <w:tc>
          <w:tcPr>
            <w:tcW w:w="630" w:type="dxa"/>
          </w:tcPr>
          <w:p>
            <w:pPr>
              <w:pStyle w:val="TableText"/>
              <w:jc w:val="center"/>
            </w:pPr>
            <w:r>
              <w:t xml:space="preserve">190</w:t>
            </w:r>
          </w:p>
        </w:tc>
        <w:tc>
          <w:tcPr>
            <w:tcW w:w="900" w:type="dxa"/>
          </w:tcPr>
          <w:p>
            <w:pPr>
              <w:pStyle w:val="TableText"/>
              <w:jc w:val="center"/>
            </w:pPr>
            <w:r>
              <w:t xml:space="preserve">1100</w:t>
            </w:r>
          </w:p>
        </w:tc>
        <w:tc>
          <w:tcPr>
            <w:tcW w:w="900" w:type="dxa"/>
          </w:tcPr>
          <w:p>
            <w:pPr>
              <w:pStyle w:val="TableText"/>
              <w:jc w:val="center"/>
            </w:pPr>
            <w:r>
              <w:t xml:space="preserve">72.0</w:t>
            </w:r>
          </w:p>
        </w:tc>
        <w:tc>
          <w:tcPr>
            <w:tcW w:w="1440" w:type="dxa"/>
          </w:tcPr>
          <w:p>
            <w:pPr>
              <w:pStyle w:val="TableText"/>
            </w:pPr>
            <w:r>
              <w:t xml:space="preserve">repeated set</w:t>
            </w:r>
          </w:p>
        </w:tc>
        <w:tc>
          <w:tcPr>
            <w:tcW w:w="1170" w:type="dxa"/>
          </w:tcPr>
          <w:p>
            <w:pPr>
              <w:pStyle w:val="TableText"/>
              <w:jc w:val="center"/>
            </w:pPr>
            <w:r>
              <w:t xml:space="preserve">×2</w:t>
            </w:r>
          </w:p>
        </w:tc>
        <w:tc>
          <w:tcPr>
            <w:tcW w:w="2520" w:type="dxa"/>
          </w:tcPr>
          <w:p>
            <w:pPr>
              <w:pStyle w:val="TableText"/>
            </w:pPr>
            <w:r>
              <w:t xml:space="preserve">Calibration</w:t>
            </w:r>
          </w:p>
        </w:tc>
      </w:tr>
      <w:tr>
        <w:trPr>
          <w:cantSplit/>
        </w:trPr>
        <w:tc>
          <w:tcPr>
            <w:tcW w:w="900" w:type="dxa"/>
          </w:tcPr>
          <w:p>
            <w:pPr>
              <w:pStyle w:val="TableText"/>
            </w:pPr>
            <w:r>
              <w:t xml:space="preserve">Sep 4</w:t>
            </w:r>
          </w:p>
        </w:tc>
        <w:tc>
          <w:tcPr>
            <w:tcW w:w="540" w:type="dxa"/>
          </w:tcPr>
          <w:p>
            <w:pPr>
              <w:pStyle w:val="TableText"/>
              <w:jc w:val="center"/>
            </w:pPr>
            <w:r>
              <w:t xml:space="preserve">1</w:t>
            </w:r>
          </w:p>
        </w:tc>
        <w:tc>
          <w:tcPr>
            <w:tcW w:w="630" w:type="dxa"/>
          </w:tcPr>
          <w:p>
            <w:pPr>
              <w:pStyle w:val="TableText"/>
              <w:jc w:val="center"/>
            </w:pPr>
            <w:r>
              <w:t xml:space="preserve">140</w:t>
            </w:r>
          </w:p>
        </w:tc>
        <w:tc>
          <w:tcPr>
            <w:tcW w:w="900" w:type="dxa"/>
          </w:tcPr>
          <w:p>
            <w:pPr>
              <w:pStyle w:val="TableText"/>
              <w:jc w:val="center"/>
            </w:pPr>
            <w:r>
              <w:t xml:space="preserve">600</w:t>
            </w:r>
          </w:p>
        </w:tc>
        <w:tc>
          <w:tcPr>
            <w:tcW w:w="900" w:type="dxa"/>
          </w:tcPr>
          <w:p>
            <w:pPr>
              <w:pStyle w:val="TableText"/>
              <w:jc w:val="center"/>
            </w:pPr>
            <w:r>
              <w:t xml:space="preserve">97.2</w:t>
            </w:r>
          </w:p>
        </w:tc>
        <w:tc>
          <w:tcPr>
            <w:tcW w:w="1440" w:type="dxa"/>
          </w:tcPr>
          <w:p>
            <w:pPr>
              <w:pStyle w:val="TableText"/>
            </w:pPr>
            <w:r>
              <w:t xml:space="preserve">speed sweep</w:t>
            </w:r>
          </w:p>
        </w:tc>
        <w:tc>
          <w:tcPr>
            <w:tcW w:w="1170" w:type="dxa"/>
          </w:tcPr>
          <w:p>
            <w:pPr>
              <w:pStyle w:val="TableText"/>
              <w:jc w:val="center"/>
            </w:pPr>
            <w:r>
              <w:t xml:space="preserve">–</w:t>
            </w:r>
          </w:p>
        </w:tc>
        <w:tc>
          <w:tcPr>
            <w:tcW w:w="2520" w:type="dxa"/>
          </w:tcPr>
          <w:p>
            <w:pPr>
              <w:pStyle w:val="TableText"/>
            </w:pPr>
            <w:r>
              <w:t xml:space="preserve">Out of window, examined</w:t>
            </w:r>
          </w:p>
        </w:tc>
      </w:tr>
      <w:tr>
        <w:trPr>
          <w:cantSplit/>
        </w:trPr>
        <w:tc>
          <w:tcPr>
            <w:tcW w:w="900" w:type="dxa"/>
          </w:tcPr>
          <w:p>
            <w:pPr>
              <w:pStyle w:val="TableText"/>
            </w:pPr>
            <w:r>
              <w:t xml:space="preserve">Sep 4</w:t>
            </w:r>
          </w:p>
        </w:tc>
        <w:tc>
          <w:tcPr>
            <w:tcW w:w="540" w:type="dxa"/>
          </w:tcPr>
          <w:p>
            <w:pPr>
              <w:pStyle w:val="TableText"/>
              <w:jc w:val="center"/>
            </w:pPr>
            <w:r>
              <w:t xml:space="preserve">2</w:t>
            </w:r>
          </w:p>
        </w:tc>
        <w:tc>
          <w:tcPr>
            <w:tcW w:w="630" w:type="dxa"/>
          </w:tcPr>
          <w:p>
            <w:pPr>
              <w:pStyle w:val="TableText"/>
              <w:jc w:val="center"/>
            </w:pPr>
            <w:r>
              <w:t xml:space="preserve">140</w:t>
            </w:r>
          </w:p>
        </w:tc>
        <w:tc>
          <w:tcPr>
            <w:tcW w:w="900" w:type="dxa"/>
          </w:tcPr>
          <w:p>
            <w:pPr>
              <w:pStyle w:val="TableText"/>
              <w:jc w:val="center"/>
            </w:pPr>
            <w:r>
              <w:t xml:space="preserve">1000</w:t>
            </w:r>
          </w:p>
        </w:tc>
        <w:tc>
          <w:tcPr>
            <w:tcW w:w="900" w:type="dxa"/>
          </w:tcPr>
          <w:p>
            <w:pPr>
              <w:pStyle w:val="TableText"/>
              <w:jc w:val="center"/>
            </w:pPr>
            <w:r>
              <w:t xml:space="preserve">58.3</w:t>
            </w:r>
          </w:p>
        </w:tc>
        <w:tc>
          <w:tcPr>
            <w:tcW w:w="1440" w:type="dxa"/>
          </w:tcPr>
          <w:p>
            <w:pPr>
              <w:pStyle w:val="TableText"/>
            </w:pPr>
            <w:r>
              <w:t xml:space="preserve">speed sweep</w:t>
            </w:r>
          </w:p>
        </w:tc>
        <w:tc>
          <w:tcPr>
            <w:tcW w:w="1170" w:type="dxa"/>
          </w:tcPr>
          <w:p>
            <w:pPr>
              <w:pStyle w:val="TableText"/>
              <w:jc w:val="center"/>
            </w:pPr>
            <w:r>
              <w:t xml:space="preserve">–</w:t>
            </w:r>
          </w:p>
        </w:tc>
        <w:tc>
          <w:tcPr>
            <w:tcW w:w="2520" w:type="dxa"/>
          </w:tcPr>
          <w:p>
            <w:pPr>
              <w:pStyle w:val="TableText"/>
            </w:pPr>
            <w:r>
              <w:t xml:space="preserve">Out of window, blind</w:t>
            </w:r>
          </w:p>
        </w:tc>
      </w:tr>
      <w:tr>
        <w:trPr>
          <w:cantSplit/>
        </w:trPr>
        <w:tc>
          <w:tcPr>
            <w:tcW w:w="900" w:type="dxa"/>
          </w:tcPr>
          <w:p>
            <w:pPr>
              <w:pStyle w:val="TableText"/>
            </w:pPr>
            <w:r>
              <w:t xml:space="preserve">Sep 4</w:t>
            </w:r>
          </w:p>
        </w:tc>
        <w:tc>
          <w:tcPr>
            <w:tcW w:w="540" w:type="dxa"/>
          </w:tcPr>
          <w:p>
            <w:pPr>
              <w:pStyle w:val="TableText"/>
              <w:jc w:val="center"/>
            </w:pPr>
            <w:r>
              <w:t xml:space="preserve">3</w:t>
            </w:r>
          </w:p>
        </w:tc>
        <w:tc>
          <w:tcPr>
            <w:tcW w:w="630" w:type="dxa"/>
          </w:tcPr>
          <w:p>
            <w:pPr>
              <w:pStyle w:val="TableText"/>
              <w:jc w:val="center"/>
            </w:pPr>
            <w:r>
              <w:t xml:space="preserve">140</w:t>
            </w:r>
          </w:p>
        </w:tc>
        <w:tc>
          <w:tcPr>
            <w:tcW w:w="900" w:type="dxa"/>
          </w:tcPr>
          <w:p>
            <w:pPr>
              <w:pStyle w:val="TableText"/>
              <w:jc w:val="center"/>
            </w:pPr>
            <w:r>
              <w:t xml:space="preserve">1400</w:t>
            </w:r>
          </w:p>
        </w:tc>
        <w:tc>
          <w:tcPr>
            <w:tcW w:w="900" w:type="dxa"/>
          </w:tcPr>
          <w:p>
            <w:pPr>
              <w:pStyle w:val="TableText"/>
              <w:jc w:val="center"/>
            </w:pPr>
            <w:r>
              <w:t xml:space="preserve">41.7</w:t>
            </w:r>
          </w:p>
        </w:tc>
        <w:tc>
          <w:tcPr>
            <w:tcW w:w="1440" w:type="dxa"/>
          </w:tcPr>
          <w:p>
            <w:pPr>
              <w:pStyle w:val="TableText"/>
            </w:pPr>
            <w:r>
              <w:t xml:space="preserve">speed sweep</w:t>
            </w:r>
          </w:p>
        </w:tc>
        <w:tc>
          <w:tcPr>
            <w:tcW w:w="1170" w:type="dxa"/>
          </w:tcPr>
          <w:p>
            <w:pPr>
              <w:pStyle w:val="TableText"/>
              <w:jc w:val="center"/>
            </w:pPr>
            <w:r>
              <w:t xml:space="preserve">–</w:t>
            </w:r>
          </w:p>
        </w:tc>
        <w:tc>
          <w:tcPr>
            <w:tcW w:w="2520" w:type="dxa"/>
          </w:tcPr>
          <w:p>
            <w:pPr>
              <w:pStyle w:val="TableText"/>
            </w:pPr>
            <w:r>
              <w:t xml:space="preserve">Out of window, examined</w:t>
            </w:r>
          </w:p>
        </w:tc>
      </w:tr>
      <w:tr>
        <w:trPr>
          <w:cantSplit/>
        </w:trPr>
        <w:tc>
          <w:tcPr>
            <w:tcW w:w="900" w:type="dxa"/>
          </w:tcPr>
          <w:p>
            <w:pPr>
              <w:pStyle w:val="TableText"/>
            </w:pPr>
            <w:r>
              <w:t xml:space="preserve">Sep 4</w:t>
            </w:r>
          </w:p>
        </w:tc>
        <w:tc>
          <w:tcPr>
            <w:tcW w:w="540" w:type="dxa"/>
          </w:tcPr>
          <w:p>
            <w:pPr>
              <w:pStyle w:val="TableText"/>
              <w:jc w:val="center"/>
            </w:pPr>
            <w:r>
              <w:t xml:space="preserve">4</w:t>
            </w:r>
          </w:p>
        </w:tc>
        <w:tc>
          <w:tcPr>
            <w:tcW w:w="630" w:type="dxa"/>
          </w:tcPr>
          <w:p>
            <w:pPr>
              <w:pStyle w:val="TableText"/>
              <w:jc w:val="center"/>
            </w:pPr>
            <w:r>
              <w:t xml:space="preserve">180</w:t>
            </w:r>
          </w:p>
        </w:tc>
        <w:tc>
          <w:tcPr>
            <w:tcW w:w="900" w:type="dxa"/>
          </w:tcPr>
          <w:p>
            <w:pPr>
              <w:pStyle w:val="TableText"/>
              <w:jc w:val="center"/>
            </w:pPr>
            <w:r>
              <w:t xml:space="preserve">600</w:t>
            </w:r>
          </w:p>
        </w:tc>
        <w:tc>
          <w:tcPr>
            <w:tcW w:w="900" w:type="dxa"/>
          </w:tcPr>
          <w:p>
            <w:pPr>
              <w:pStyle w:val="TableText"/>
              <w:jc w:val="center"/>
            </w:pPr>
            <w:r>
              <w:t xml:space="preserve">125.0</w:t>
            </w:r>
          </w:p>
        </w:tc>
        <w:tc>
          <w:tcPr>
            <w:tcW w:w="1440" w:type="dxa"/>
          </w:tcPr>
          <w:p>
            <w:pPr>
              <w:pStyle w:val="TableText"/>
            </w:pPr>
            <w:r>
              <w:t xml:space="preserve">speed sweep</w:t>
            </w:r>
          </w:p>
        </w:tc>
        <w:tc>
          <w:tcPr>
            <w:tcW w:w="1170" w:type="dxa"/>
          </w:tcPr>
          <w:p>
            <w:pPr>
              <w:pStyle w:val="TableText"/>
              <w:jc w:val="center"/>
            </w:pPr>
            <w:r>
              <w:t xml:space="preserve">–</w:t>
            </w:r>
          </w:p>
        </w:tc>
        <w:tc>
          <w:tcPr>
            <w:tcW w:w="2520" w:type="dxa"/>
          </w:tcPr>
          <w:p>
            <w:pPr>
              <w:pStyle w:val="TableText"/>
            </w:pPr>
            <w:r>
              <w:t xml:space="preserve">Out of window, examined</w:t>
            </w:r>
          </w:p>
        </w:tc>
      </w:tr>
      <w:tr>
        <w:trPr>
          <w:cantSplit/>
        </w:trPr>
        <w:tc>
          <w:tcPr>
            <w:tcW w:w="900" w:type="dxa"/>
          </w:tcPr>
          <w:p>
            <w:pPr>
              <w:pStyle w:val="TableText"/>
            </w:pPr>
            <w:r>
              <w:t xml:space="preserve">Sep 4</w:t>
            </w:r>
          </w:p>
        </w:tc>
        <w:tc>
          <w:tcPr>
            <w:tcW w:w="540" w:type="dxa"/>
          </w:tcPr>
          <w:p>
            <w:pPr>
              <w:pStyle w:val="TableText"/>
              <w:jc w:val="center"/>
            </w:pPr>
            <w:r>
              <w:t xml:space="preserve">5</w:t>
            </w:r>
          </w:p>
        </w:tc>
        <w:tc>
          <w:tcPr>
            <w:tcW w:w="630" w:type="dxa"/>
          </w:tcPr>
          <w:p>
            <w:pPr>
              <w:pStyle w:val="TableText"/>
              <w:jc w:val="center"/>
            </w:pPr>
            <w:r>
              <w:t xml:space="preserve">180</w:t>
            </w:r>
          </w:p>
        </w:tc>
        <w:tc>
          <w:tcPr>
            <w:tcW w:w="900" w:type="dxa"/>
          </w:tcPr>
          <w:p>
            <w:pPr>
              <w:pStyle w:val="TableText"/>
              <w:jc w:val="center"/>
            </w:pPr>
            <w:r>
              <w:t xml:space="preserve">1000</w:t>
            </w:r>
          </w:p>
        </w:tc>
        <w:tc>
          <w:tcPr>
            <w:tcW w:w="900" w:type="dxa"/>
          </w:tcPr>
          <w:p>
            <w:pPr>
              <w:pStyle w:val="TableText"/>
              <w:jc w:val="center"/>
            </w:pPr>
            <w:r>
              <w:t xml:space="preserve">75.0</w:t>
            </w:r>
          </w:p>
        </w:tc>
        <w:tc>
          <w:tcPr>
            <w:tcW w:w="1440" w:type="dxa"/>
          </w:tcPr>
          <w:p>
            <w:pPr>
              <w:pStyle w:val="TableText"/>
            </w:pPr>
            <w:r>
              <w:t xml:space="preserve">speed sweep</w:t>
            </w:r>
          </w:p>
        </w:tc>
        <w:tc>
          <w:tcPr>
            <w:tcW w:w="1170" w:type="dxa"/>
          </w:tcPr>
          <w:p>
            <w:pPr>
              <w:pStyle w:val="TableText"/>
              <w:jc w:val="center"/>
            </w:pPr>
            <w:r>
              <w:t xml:space="preserve">–</w:t>
            </w:r>
          </w:p>
        </w:tc>
        <w:tc>
          <w:tcPr>
            <w:tcW w:w="2520" w:type="dxa"/>
          </w:tcPr>
          <w:p>
            <w:pPr>
              <w:pStyle w:val="TableText"/>
            </w:pPr>
            <w:r>
              <w:t xml:space="preserve">Held out, in window</w:t>
            </w:r>
          </w:p>
        </w:tc>
      </w:tr>
      <w:tr>
        <w:trPr>
          <w:cantSplit/>
        </w:trPr>
        <w:tc>
          <w:tcPr>
            <w:tcW w:w="900" w:type="dxa"/>
          </w:tcPr>
          <w:p>
            <w:pPr>
              <w:pStyle w:val="TableText"/>
            </w:pPr>
            <w:r>
              <w:t xml:space="preserve">Sep 4</w:t>
            </w:r>
          </w:p>
        </w:tc>
        <w:tc>
          <w:tcPr>
            <w:tcW w:w="540" w:type="dxa"/>
          </w:tcPr>
          <w:p>
            <w:pPr>
              <w:pStyle w:val="TableText"/>
              <w:jc w:val="center"/>
            </w:pPr>
            <w:r>
              <w:t xml:space="preserve">6</w:t>
            </w:r>
          </w:p>
        </w:tc>
        <w:tc>
          <w:tcPr>
            <w:tcW w:w="630" w:type="dxa"/>
          </w:tcPr>
          <w:p>
            <w:pPr>
              <w:pStyle w:val="TableText"/>
              <w:jc w:val="center"/>
            </w:pPr>
            <w:r>
              <w:t xml:space="preserve">180</w:t>
            </w:r>
          </w:p>
        </w:tc>
        <w:tc>
          <w:tcPr>
            <w:tcW w:w="900" w:type="dxa"/>
          </w:tcPr>
          <w:p>
            <w:pPr>
              <w:pStyle w:val="TableText"/>
              <w:jc w:val="center"/>
            </w:pPr>
            <w:r>
              <w:t xml:space="preserve">1400</w:t>
            </w:r>
          </w:p>
        </w:tc>
        <w:tc>
          <w:tcPr>
            <w:tcW w:w="900" w:type="dxa"/>
          </w:tcPr>
          <w:p>
            <w:pPr>
              <w:pStyle w:val="TableText"/>
              <w:jc w:val="center"/>
            </w:pPr>
            <w:r>
              <w:t xml:space="preserve">53.6</w:t>
            </w:r>
          </w:p>
        </w:tc>
        <w:tc>
          <w:tcPr>
            <w:tcW w:w="1440" w:type="dxa"/>
          </w:tcPr>
          <w:p>
            <w:pPr>
              <w:pStyle w:val="TableText"/>
            </w:pPr>
            <w:r>
              <w:t xml:space="preserve">speed sweep</w:t>
            </w:r>
          </w:p>
        </w:tc>
        <w:tc>
          <w:tcPr>
            <w:tcW w:w="1170" w:type="dxa"/>
          </w:tcPr>
          <w:p>
            <w:pPr>
              <w:pStyle w:val="TableText"/>
              <w:jc w:val="center"/>
            </w:pPr>
            <w:r>
              <w:t xml:space="preserve">–</w:t>
            </w:r>
          </w:p>
        </w:tc>
        <w:tc>
          <w:tcPr>
            <w:tcW w:w="2520" w:type="dxa"/>
          </w:tcPr>
          <w:p>
            <w:pPr>
              <w:pStyle w:val="TableText"/>
            </w:pPr>
            <w:r>
              <w:t xml:space="preserve">Out of window, examined</w:t>
            </w:r>
          </w:p>
        </w:tc>
      </w:tr>
      <w:tr>
        <w:trPr>
          <w:cantSplit/>
        </w:trPr>
        <w:tc>
          <w:tcPr>
            <w:tcW w:w="900" w:type="dxa"/>
          </w:tcPr>
          <w:p>
            <w:pPr>
              <w:pStyle w:val="TableText"/>
            </w:pPr>
            <w:r>
              <w:t xml:space="preserve">Sep 10</w:t>
            </w:r>
          </w:p>
        </w:tc>
        <w:tc>
          <w:tcPr>
            <w:tcW w:w="540" w:type="dxa"/>
          </w:tcPr>
          <w:p>
            <w:pPr>
              <w:pStyle w:val="TableText"/>
              <w:jc w:val="center"/>
            </w:pPr>
            <w:r>
              <w:t xml:space="preserve">1</w:t>
            </w:r>
          </w:p>
        </w:tc>
        <w:tc>
          <w:tcPr>
            <w:tcW w:w="630" w:type="dxa"/>
          </w:tcPr>
          <w:p>
            <w:pPr>
              <w:pStyle w:val="TableText"/>
              <w:jc w:val="center"/>
            </w:pPr>
            <w:r>
              <w:t xml:space="preserve">140</w:t>
            </w:r>
          </w:p>
        </w:tc>
        <w:tc>
          <w:tcPr>
            <w:tcW w:w="900" w:type="dxa"/>
          </w:tcPr>
          <w:p>
            <w:pPr>
              <w:pStyle w:val="TableText"/>
              <w:jc w:val="center"/>
            </w:pPr>
            <w:r>
              <w:t xml:space="preserve">700</w:t>
            </w:r>
          </w:p>
        </w:tc>
        <w:tc>
          <w:tcPr>
            <w:tcW w:w="900" w:type="dxa"/>
          </w:tcPr>
          <w:p>
            <w:pPr>
              <w:pStyle w:val="TableText"/>
              <w:jc w:val="center"/>
            </w:pPr>
            <w:r>
              <w:t xml:space="preserve">83.3</w:t>
            </w:r>
          </w:p>
        </w:tc>
        <w:tc>
          <w:tcPr>
            <w:tcW w:w="1440" w:type="dxa"/>
          </w:tcPr>
          <w:p>
            <w:pPr>
              <w:pStyle w:val="TableText"/>
            </w:pPr>
            <w:r>
              <w:t xml:space="preserve">power sweep</w:t>
            </w:r>
          </w:p>
        </w:tc>
        <w:tc>
          <w:tcPr>
            <w:tcW w:w="1170" w:type="dxa"/>
          </w:tcPr>
          <w:p>
            <w:pPr>
              <w:pStyle w:val="TableText"/>
              <w:jc w:val="center"/>
            </w:pPr>
            <w:r>
              <w:t xml:space="preserve">–</w:t>
            </w:r>
          </w:p>
        </w:tc>
        <w:tc>
          <w:tcPr>
            <w:tcW w:w="2520" w:type="dxa"/>
          </w:tcPr>
          <w:p>
            <w:pPr>
              <w:pStyle w:val="TableText"/>
            </w:pPr>
            <w:r>
              <w:t xml:space="preserve">Calibration</w:t>
            </w:r>
          </w:p>
        </w:tc>
      </w:tr>
      <w:tr>
        <w:trPr>
          <w:cantSplit/>
        </w:trPr>
        <w:tc>
          <w:tcPr>
            <w:tcW w:w="900" w:type="dxa"/>
          </w:tcPr>
          <w:p>
            <w:pPr>
              <w:pStyle w:val="TableText"/>
            </w:pPr>
            <w:r>
              <w:t xml:space="preserve">Sep 10</w:t>
            </w:r>
          </w:p>
        </w:tc>
        <w:tc>
          <w:tcPr>
            <w:tcW w:w="540" w:type="dxa"/>
          </w:tcPr>
          <w:p>
            <w:pPr>
              <w:pStyle w:val="TableText"/>
              <w:jc w:val="center"/>
            </w:pPr>
            <w:r>
              <w:t xml:space="preserve">2</w:t>
            </w:r>
          </w:p>
        </w:tc>
        <w:tc>
          <w:tcPr>
            <w:tcW w:w="630" w:type="dxa"/>
          </w:tcPr>
          <w:p>
            <w:pPr>
              <w:pStyle w:val="TableText"/>
              <w:jc w:val="center"/>
            </w:pPr>
            <w:r>
              <w:t xml:space="preserve">160</w:t>
            </w:r>
          </w:p>
        </w:tc>
        <w:tc>
          <w:tcPr>
            <w:tcW w:w="900" w:type="dxa"/>
          </w:tcPr>
          <w:p>
            <w:pPr>
              <w:pStyle w:val="TableText"/>
              <w:jc w:val="center"/>
            </w:pPr>
            <w:r>
              <w:t xml:space="preserve">700</w:t>
            </w:r>
          </w:p>
        </w:tc>
        <w:tc>
          <w:tcPr>
            <w:tcW w:w="900" w:type="dxa"/>
          </w:tcPr>
          <w:p>
            <w:pPr>
              <w:pStyle w:val="TableText"/>
              <w:jc w:val="center"/>
            </w:pPr>
            <w:r>
              <w:t xml:space="preserve">95.2</w:t>
            </w:r>
          </w:p>
        </w:tc>
        <w:tc>
          <w:tcPr>
            <w:tcW w:w="1440" w:type="dxa"/>
          </w:tcPr>
          <w:p>
            <w:pPr>
              <w:pStyle w:val="TableText"/>
            </w:pPr>
            <w:r>
              <w:t xml:space="preserve">power sweep</w:t>
            </w:r>
          </w:p>
        </w:tc>
        <w:tc>
          <w:tcPr>
            <w:tcW w:w="1170" w:type="dxa"/>
          </w:tcPr>
          <w:p>
            <w:pPr>
              <w:pStyle w:val="TableText"/>
              <w:jc w:val="center"/>
            </w:pPr>
            <w:r>
              <w:t xml:space="preserve">–</w:t>
            </w:r>
          </w:p>
        </w:tc>
        <w:tc>
          <w:tcPr>
            <w:tcW w:w="2520" w:type="dxa"/>
          </w:tcPr>
          <w:p>
            <w:pPr>
              <w:pStyle w:val="TableText"/>
            </w:pPr>
            <w:r>
              <w:t xml:space="preserve">Out of window, blind</w:t>
            </w:r>
          </w:p>
        </w:tc>
      </w:tr>
      <w:tr>
        <w:trPr>
          <w:cantSplit/>
        </w:trPr>
        <w:tc>
          <w:tcPr>
            <w:tcW w:w="900" w:type="dxa"/>
          </w:tcPr>
          <w:p>
            <w:pPr>
              <w:pStyle w:val="TableText"/>
            </w:pPr>
            <w:r>
              <w:t xml:space="preserve">Sep 10</w:t>
            </w:r>
          </w:p>
        </w:tc>
        <w:tc>
          <w:tcPr>
            <w:tcW w:w="540" w:type="dxa"/>
          </w:tcPr>
          <w:p>
            <w:pPr>
              <w:pStyle w:val="TableText"/>
              <w:jc w:val="center"/>
            </w:pPr>
            <w:r>
              <w:t xml:space="preserve">3</w:t>
            </w:r>
          </w:p>
        </w:tc>
        <w:tc>
          <w:tcPr>
            <w:tcW w:w="630" w:type="dxa"/>
          </w:tcPr>
          <w:p>
            <w:pPr>
              <w:pStyle w:val="TableText"/>
              <w:jc w:val="center"/>
            </w:pPr>
            <w:r>
              <w:t xml:space="preserve">180</w:t>
            </w:r>
          </w:p>
        </w:tc>
        <w:tc>
          <w:tcPr>
            <w:tcW w:w="900" w:type="dxa"/>
          </w:tcPr>
          <w:p>
            <w:pPr>
              <w:pStyle w:val="TableText"/>
              <w:jc w:val="center"/>
            </w:pPr>
            <w:r>
              <w:t xml:space="preserve">700</w:t>
            </w:r>
          </w:p>
        </w:tc>
        <w:tc>
          <w:tcPr>
            <w:tcW w:w="900" w:type="dxa"/>
          </w:tcPr>
          <w:p>
            <w:pPr>
              <w:pStyle w:val="TableText"/>
              <w:jc w:val="center"/>
            </w:pPr>
            <w:r>
              <w:t xml:space="preserve">107.1</w:t>
            </w:r>
          </w:p>
        </w:tc>
        <w:tc>
          <w:tcPr>
            <w:tcW w:w="1440" w:type="dxa"/>
          </w:tcPr>
          <w:p>
            <w:pPr>
              <w:pStyle w:val="TableText"/>
            </w:pPr>
            <w:r>
              <w:t xml:space="preserve">power sweep</w:t>
            </w:r>
          </w:p>
        </w:tc>
        <w:tc>
          <w:tcPr>
            <w:tcW w:w="1170" w:type="dxa"/>
          </w:tcPr>
          <w:p>
            <w:pPr>
              <w:pStyle w:val="TableText"/>
              <w:jc w:val="center"/>
            </w:pPr>
            <w:r>
              <w:t xml:space="preserve">–</w:t>
            </w:r>
          </w:p>
        </w:tc>
        <w:tc>
          <w:tcPr>
            <w:tcW w:w="2520" w:type="dxa"/>
          </w:tcPr>
          <w:p>
            <w:pPr>
              <w:pStyle w:val="TableText"/>
            </w:pPr>
            <w:r>
              <w:t xml:space="preserve">Out of window, examined</w:t>
            </w:r>
          </w:p>
        </w:tc>
      </w:tr>
      <w:tr>
        <w:trPr>
          <w:cantSplit/>
        </w:trPr>
        <w:tc>
          <w:tcPr>
            <w:tcW w:w="900" w:type="dxa"/>
          </w:tcPr>
          <w:p>
            <w:pPr>
              <w:pStyle w:val="TableText"/>
            </w:pPr>
            <w:r>
              <w:t xml:space="preserve">Sep 10</w:t>
            </w:r>
          </w:p>
        </w:tc>
        <w:tc>
          <w:tcPr>
            <w:tcW w:w="540" w:type="dxa"/>
          </w:tcPr>
          <w:p>
            <w:pPr>
              <w:pStyle w:val="TableText"/>
              <w:jc w:val="center"/>
            </w:pPr>
            <w:r>
              <w:t xml:space="preserve">4</w:t>
            </w:r>
          </w:p>
        </w:tc>
        <w:tc>
          <w:tcPr>
            <w:tcW w:w="630" w:type="dxa"/>
          </w:tcPr>
          <w:p>
            <w:pPr>
              <w:pStyle w:val="TableText"/>
              <w:jc w:val="center"/>
            </w:pPr>
            <w:r>
              <w:t xml:space="preserve">140</w:t>
            </w:r>
          </w:p>
        </w:tc>
        <w:tc>
          <w:tcPr>
            <w:tcW w:w="900" w:type="dxa"/>
          </w:tcPr>
          <w:p>
            <w:pPr>
              <w:pStyle w:val="TableText"/>
              <w:jc w:val="center"/>
            </w:pPr>
            <w:r>
              <w:t xml:space="preserve">1200</w:t>
            </w:r>
          </w:p>
        </w:tc>
        <w:tc>
          <w:tcPr>
            <w:tcW w:w="900" w:type="dxa"/>
          </w:tcPr>
          <w:p>
            <w:pPr>
              <w:pStyle w:val="TableText"/>
              <w:jc w:val="center"/>
            </w:pPr>
            <w:r>
              <w:t xml:space="preserve">48.6</w:t>
            </w:r>
          </w:p>
        </w:tc>
        <w:tc>
          <w:tcPr>
            <w:tcW w:w="1440" w:type="dxa"/>
          </w:tcPr>
          <w:p>
            <w:pPr>
              <w:pStyle w:val="TableText"/>
            </w:pPr>
            <w:r>
              <w:t xml:space="preserve">power sweep</w:t>
            </w:r>
          </w:p>
        </w:tc>
        <w:tc>
          <w:tcPr>
            <w:tcW w:w="1170" w:type="dxa"/>
          </w:tcPr>
          <w:p>
            <w:pPr>
              <w:pStyle w:val="TableText"/>
              <w:jc w:val="center"/>
            </w:pPr>
            <w:r>
              <w:t xml:space="preserve">–</w:t>
            </w:r>
          </w:p>
        </w:tc>
        <w:tc>
          <w:tcPr>
            <w:tcW w:w="2520" w:type="dxa"/>
          </w:tcPr>
          <w:p>
            <w:pPr>
              <w:pStyle w:val="TableText"/>
            </w:pPr>
            <w:r>
              <w:t xml:space="preserve">Out of window, examined</w:t>
            </w:r>
          </w:p>
        </w:tc>
      </w:tr>
      <w:tr>
        <w:trPr>
          <w:cantSplit/>
        </w:trPr>
        <w:tc>
          <w:tcPr>
            <w:tcW w:w="900" w:type="dxa"/>
          </w:tcPr>
          <w:p>
            <w:pPr>
              <w:pStyle w:val="TableText"/>
            </w:pPr>
            <w:r>
              <w:t xml:space="preserve">Sep 10</w:t>
            </w:r>
          </w:p>
        </w:tc>
        <w:tc>
          <w:tcPr>
            <w:tcW w:w="540" w:type="dxa"/>
          </w:tcPr>
          <w:p>
            <w:pPr>
              <w:pStyle w:val="TableText"/>
              <w:jc w:val="center"/>
            </w:pPr>
            <w:r>
              <w:t xml:space="preserve">5</w:t>
            </w:r>
          </w:p>
        </w:tc>
        <w:tc>
          <w:tcPr>
            <w:tcW w:w="630" w:type="dxa"/>
          </w:tcPr>
          <w:p>
            <w:pPr>
              <w:pStyle w:val="TableText"/>
              <w:jc w:val="center"/>
            </w:pPr>
            <w:r>
              <w:t xml:space="preserve">160</w:t>
            </w:r>
          </w:p>
        </w:tc>
        <w:tc>
          <w:tcPr>
            <w:tcW w:w="900" w:type="dxa"/>
          </w:tcPr>
          <w:p>
            <w:pPr>
              <w:pStyle w:val="TableText"/>
              <w:jc w:val="center"/>
            </w:pPr>
            <w:r>
              <w:t xml:space="preserve">1200</w:t>
            </w:r>
          </w:p>
        </w:tc>
        <w:tc>
          <w:tcPr>
            <w:tcW w:w="900" w:type="dxa"/>
          </w:tcPr>
          <w:p>
            <w:pPr>
              <w:pStyle w:val="TableText"/>
              <w:jc w:val="center"/>
            </w:pPr>
            <w:r>
              <w:t xml:space="preserve">55.6</w:t>
            </w:r>
          </w:p>
        </w:tc>
        <w:tc>
          <w:tcPr>
            <w:tcW w:w="1440" w:type="dxa"/>
          </w:tcPr>
          <w:p>
            <w:pPr>
              <w:pStyle w:val="TableText"/>
            </w:pPr>
            <w:r>
              <w:t xml:space="preserve">power sweep</w:t>
            </w:r>
          </w:p>
        </w:tc>
        <w:tc>
          <w:tcPr>
            <w:tcW w:w="1170" w:type="dxa"/>
          </w:tcPr>
          <w:p>
            <w:pPr>
              <w:pStyle w:val="TableText"/>
              <w:jc w:val="center"/>
            </w:pPr>
            <w:r>
              <w:t xml:space="preserve">–</w:t>
            </w:r>
          </w:p>
        </w:tc>
        <w:tc>
          <w:tcPr>
            <w:tcW w:w="2520" w:type="dxa"/>
          </w:tcPr>
          <w:p>
            <w:pPr>
              <w:pStyle w:val="TableText"/>
            </w:pPr>
            <w:r>
              <w:t xml:space="preserve">Out of window, blind</w:t>
            </w:r>
          </w:p>
        </w:tc>
      </w:tr>
      <w:tr>
        <w:trPr>
          <w:cantSplit/>
        </w:trPr>
        <w:tc>
          <w:tcPr>
            <w:tcW w:w="900" w:type="dxa"/>
          </w:tcPr>
          <w:p>
            <w:pPr>
              <w:pStyle w:val="TableText"/>
            </w:pPr>
            <w:r>
              <w:t xml:space="preserve">Sep 10</w:t>
            </w:r>
          </w:p>
        </w:tc>
        <w:tc>
          <w:tcPr>
            <w:tcW w:w="540" w:type="dxa"/>
          </w:tcPr>
          <w:p>
            <w:pPr>
              <w:pStyle w:val="TableText"/>
              <w:jc w:val="center"/>
            </w:pPr>
            <w:r>
              <w:t xml:space="preserve">6</w:t>
            </w:r>
          </w:p>
        </w:tc>
        <w:tc>
          <w:tcPr>
            <w:tcW w:w="630" w:type="dxa"/>
          </w:tcPr>
          <w:p>
            <w:pPr>
              <w:pStyle w:val="TableText"/>
              <w:jc w:val="center"/>
            </w:pPr>
            <w:r>
              <w:t xml:space="preserve">180</w:t>
            </w:r>
          </w:p>
        </w:tc>
        <w:tc>
          <w:tcPr>
            <w:tcW w:w="900" w:type="dxa"/>
          </w:tcPr>
          <w:p>
            <w:pPr>
              <w:pStyle w:val="TableText"/>
              <w:jc w:val="center"/>
            </w:pPr>
            <w:r>
              <w:t xml:space="preserve">1200</w:t>
            </w:r>
          </w:p>
        </w:tc>
        <w:tc>
          <w:tcPr>
            <w:tcW w:w="900" w:type="dxa"/>
          </w:tcPr>
          <w:p>
            <w:pPr>
              <w:pStyle w:val="TableText"/>
              <w:jc w:val="center"/>
            </w:pPr>
            <w:r>
              <w:t xml:space="preserve">62.5</w:t>
            </w:r>
          </w:p>
        </w:tc>
        <w:tc>
          <w:tcPr>
            <w:tcW w:w="1440" w:type="dxa"/>
          </w:tcPr>
          <w:p>
            <w:pPr>
              <w:pStyle w:val="TableText"/>
            </w:pPr>
            <w:r>
              <w:t xml:space="preserve">power sweep</w:t>
            </w:r>
          </w:p>
        </w:tc>
        <w:tc>
          <w:tcPr>
            <w:tcW w:w="1170" w:type="dxa"/>
          </w:tcPr>
          <w:p>
            <w:pPr>
              <w:pStyle w:val="TableText"/>
              <w:jc w:val="center"/>
            </w:pPr>
            <w:r>
              <w:t xml:space="preserve">–</w:t>
            </w:r>
          </w:p>
        </w:tc>
        <w:tc>
          <w:tcPr>
            <w:tcW w:w="2520" w:type="dxa"/>
          </w:tcPr>
          <w:p>
            <w:pPr>
              <w:pStyle w:val="TableText"/>
            </w:pPr>
            <w:r>
              <w:t xml:space="preserve">Out of window, examined</w:t>
            </w:r>
          </w:p>
        </w:tc>
      </w:tr>
    </w:tbl>
    <w:p>
      <w:pPr>
        <w:pStyle w:val="TableNote"/>
      </w:pPr>
      <w:r>
        <w:rPr>
          <w:i/>
        </w:rPr>
        <w:t xml:space="preserve">Note. </w:t>
      </w:r>
      <w:r>
        <w:t xml:space="preserve">VED = P / (v h t) with h = 0.080 mm and t = 0.030 mm. ×2: the same condition was built on Jul 30 and Jul 31. Roles: calibration 9, held out in window 5, out of window examined 7, out of window blind 3 coupons.</w:t>
      </w:r>
    </w:p>
    <w:p>
      <w:pPr>
        <w:pStyle w:val="Placement"/>
      </w:pPr>
      <w:r>
        <w:t xml:space="preserve">F1 · §3.2.2, second PLACEHOLDER (after the paragraph on the four data roles)</w:t>
      </w:r>
    </w:p>
    <w:p>
      <w:pPr>
        <w:pStyle w:val="Figure"/>
      </w:pPr>
      <w:r>
        <w:drawing>
          <wp:inline distT="0" distB="0" distL="0" distR="0">
            <wp:extent cx="5715000" cy="2696394"/>
            <wp:docPr id="1" name="Figure 1"/>
            <wp:cNvGraphicFramePr>
              <a:graphicFrameLocks noChangeAspect="1"/>
            </wp:cNvGraphicFramePr>
            <a:graphic>
              <a:graphicData uri="http://schemas.openxmlformats.org/drawingml/2006/picture">
                <pic:pic>
                  <pic:nvPicPr>
                    <pic:cNvPr id="1" name="F1_process_space_map.png"/>
                    <pic:cNvPicPr/>
                  </pic:nvPicPr>
                  <pic:blipFill>
                    <a:blip r:embed="rIdImg1"/>
                    <a:stretch>
                      <a:fillRect/>
                    </a:stretch>
                  </pic:blipFill>
                  <pic:spPr>
                    <a:xfrm>
                      <a:off x="0" y="0"/>
                      <a:ext cx="5715000" cy="2696394"/>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1</w:t>
      </w:r>
      <w:r>
        <w:fldChar w:fldCharType="end"/>
      </w:r>
      <w:r>
        <w:t xml:space="preserve">. Experimental process space and data roles.</w:t>
      </w:r>
      <w:r>
        <w:rPr>
          <w:b w:val="0"/>
          <w:bCs w:val="0"/>
        </w:rPr>
        <w:t xml:space="preserve"> Laser power against scan speed for the 18 process conditions (24 coupons). Marker shape and fill give the analysis role; ×2 marks the six conditions built on both July 30 and July 31. The shaded band is the 65–85 J/mm³ calibration window, thin lines are VED isolines and dotted lines show the campaign designs.</w:t>
      </w:r>
    </w:p>
    <w:p>
      <w:pPr>
        <w:pStyle w:val="Placement"/>
      </w:pPr>
      <w:r>
        <w:t xml:space="preserve">T3 · §3.2.3, replaces the existing channel table</w:t>
      </w:r>
    </w:p>
    <w:p>
      <w:pPr>
        <w:pStyle w:val="TableTitle"/>
      </w:pPr>
      <w:r>
        <w:t xml:space="preserve">Table </w:t>
      </w:r>
      <w:r>
        <w:fldChar w:fldCharType="begin"/>
      </w:r>
      <w:r>
        <w:instrText xml:space="preserve"> SEQ Table \* ARABIC </w:instrText>
      </w:r>
      <w:r>
        <w:fldChar w:fldCharType="separate"/>
      </w:r>
      <w:r>
        <w:t>3</w:t>
      </w:r>
      <w:r>
        <w:fldChar w:fldCharType="end"/>
      </w:r>
      <w:r>
        <w:t xml:space="preserve">. Recorded data channels and their roles</w:t>
      </w:r>
    </w:p>
    <w:tbl>
      <w:tblPr>
        <w:tblW w:w="9000" w:type="dxa"/>
        <w:tblLayout w:type="fixed"/>
        <w:tblBorders>
          <w:top w:val="single" w:sz="8" w:space="0" w:color="000000"/>
          <w:bottom w:val="single" w:sz="8" w:space="0" w:color="000000"/>
        </w:tblBorders>
        <w:tblCellMar>
          <w:left w:w="70" w:type="dxa"/>
          <w:right w:w="70" w:type="dxa"/>
        </w:tblCellMar>
        <w:tblLook w:val="0000" w:firstRow="0" w:lastRow="0" w:firstColumn="0" w:lastColumn="0" w:noHBand="1" w:noVBand="1"/>
      </w:tblPr>
      <w:tblGrid>
        <w:gridCol w:w="1260"/>
        <w:gridCol w:w="1620"/>
        <w:gridCol w:w="1530"/>
        <w:gridCol w:w="1080"/>
        <w:gridCol w:w="1260"/>
        <w:gridCol w:w="2250"/>
      </w:tblGrid>
      <w:tr>
        <w:trPr>
          <w:tblHeader/>
          <w:cantSplit/>
        </w:trPr>
        <w:tc>
          <w:tcPr>
            <w:tcW w:w="1260" w:type="dxa"/>
            <w:tcBorders>
              <w:bottom w:val="single" w:sz="6" w:space="0" w:color="000000"/>
            </w:tcBorders>
            <w:vAlign w:val="bottom"/>
          </w:tcPr>
          <w:p>
            <w:pPr>
              <w:pStyle w:val="TableText"/>
            </w:pPr>
            <w:r>
              <w:rPr>
                <w:b/>
              </w:rPr>
              <w:t xml:space="preserve">Process Channel</w:t>
            </w:r>
          </w:p>
        </w:tc>
        <w:tc>
          <w:tcPr>
            <w:tcW w:w="1620" w:type="dxa"/>
            <w:tcBorders>
              <w:bottom w:val="single" w:sz="6" w:space="0" w:color="000000"/>
            </w:tcBorders>
            <w:vAlign w:val="bottom"/>
          </w:tcPr>
          <w:p>
            <w:pPr>
              <w:pStyle w:val="TableText"/>
            </w:pPr>
            <w:r>
              <w:rPr>
                <w:b/>
              </w:rPr>
              <w:t xml:space="preserve">Description</w:t>
            </w:r>
          </w:p>
        </w:tc>
        <w:tc>
          <w:tcPr>
            <w:tcW w:w="1530" w:type="dxa"/>
            <w:tcBorders>
              <w:bottom w:val="single" w:sz="6" w:space="0" w:color="000000"/>
            </w:tcBorders>
            <w:vAlign w:val="bottom"/>
          </w:tcPr>
          <w:p>
            <w:pPr>
              <w:pStyle w:val="TableText"/>
            </w:pPr>
            <w:r>
              <w:rPr>
                <w:b/>
              </w:rPr>
              <w:t xml:space="preserve">Format</w:t>
            </w:r>
          </w:p>
        </w:tc>
        <w:tc>
          <w:tcPr>
            <w:tcW w:w="1080" w:type="dxa"/>
            <w:tcBorders>
              <w:bottom w:val="single" w:sz="6" w:space="0" w:color="000000"/>
            </w:tcBorders>
            <w:vAlign w:val="bottom"/>
          </w:tcPr>
          <w:p>
            <w:pPr>
              <w:pStyle w:val="TableText"/>
              <w:jc w:val="center"/>
            </w:pPr>
            <w:r>
              <w:rPr>
                <w:b/>
              </w:rPr>
              <w:t xml:space="preserve">Acquisition Rate</w:t>
            </w:r>
          </w:p>
        </w:tc>
        <w:tc>
          <w:tcPr>
            <w:tcW w:w="1260" w:type="dxa"/>
            <w:tcBorders>
              <w:bottom w:val="single" w:sz="6" w:space="0" w:color="000000"/>
            </w:tcBorders>
            <w:vAlign w:val="bottom"/>
          </w:tcPr>
          <w:p>
            <w:pPr>
              <w:pStyle w:val="TableText"/>
            </w:pPr>
            <w:r>
              <w:rPr>
                <w:b/>
              </w:rPr>
              <w:t xml:space="preserve">Unit</w:t>
            </w:r>
          </w:p>
        </w:tc>
        <w:tc>
          <w:tcPr>
            <w:tcW w:w="2250" w:type="dxa"/>
            <w:tcBorders>
              <w:bottom w:val="single" w:sz="6" w:space="0" w:color="000000"/>
            </w:tcBorders>
            <w:vAlign w:val="bottom"/>
          </w:tcPr>
          <w:p>
            <w:pPr>
              <w:pStyle w:val="TableText"/>
            </w:pPr>
            <w:r>
              <w:rPr>
                <w:b/>
              </w:rPr>
              <w:t xml:space="preserve">Role in present study</w:t>
            </w:r>
          </w:p>
        </w:tc>
      </w:tr>
      <w:tr>
        <w:trPr>
          <w:cantSplit/>
        </w:trPr>
        <w:tc>
          <w:tcPr>
            <w:tcW w:w="1260" w:type="dxa"/>
          </w:tcPr>
          <w:p>
            <w:pPr>
              <w:pStyle w:val="TableText"/>
            </w:pPr>
            <w:r>
              <w:t xml:space="preserve">Laser Drive</w:t>
            </w:r>
          </w:p>
        </w:tc>
        <w:tc>
          <w:tcPr>
            <w:tcW w:w="1620" w:type="dxa"/>
          </w:tcPr>
          <w:p>
            <w:pPr>
              <w:pStyle w:val="TableText"/>
            </w:pPr>
            <w:r>
              <w:t xml:space="preserve">Laser drive/state</w:t>
            </w:r>
          </w:p>
        </w:tc>
        <w:tc>
          <w:tcPr>
            <w:tcW w:w="1530" w:type="dxa"/>
          </w:tcPr>
          <w:p>
            <w:pPr>
              <w:pStyle w:val="TableText"/>
            </w:pPr>
            <w:r>
              <w:t xml:space="preserve">64-bit float</w:t>
            </w:r>
          </w:p>
        </w:tc>
        <w:tc>
          <w:tcPr>
            <w:tcW w:w="1080" w:type="dxa"/>
          </w:tcPr>
          <w:p>
            <w:pPr>
              <w:pStyle w:val="TableText"/>
              <w:jc w:val="center"/>
            </w:pPr>
            <w:r>
              <w:t xml:space="preserve">200 kHz</w:t>
            </w:r>
          </w:p>
        </w:tc>
        <w:tc>
          <w:tcPr>
            <w:tcW w:w="1260" w:type="dxa"/>
          </w:tcPr>
          <w:p>
            <w:pPr>
              <w:pStyle w:val="TableText"/>
            </w:pPr>
            <w:r>
              <w:t xml:space="preserve">V</w:t>
            </w:r>
          </w:p>
        </w:tc>
        <w:tc>
          <w:tcPr>
            <w:tcW w:w="2250" w:type="dxa"/>
          </w:tcPr>
          <w:p>
            <w:pPr>
              <w:pStyle w:val="TableText"/>
            </w:pPr>
            <w:r>
              <w:t xml:space="preserve">Laser-state determination; ≥ 2.5 V = laser on, &lt; 2.5 V = laser off</w:t>
            </w:r>
          </w:p>
        </w:tc>
      </w:tr>
      <w:tr>
        <w:trPr>
          <w:cantSplit/>
        </w:trPr>
        <w:tc>
          <w:tcPr>
            <w:tcW w:w="1260" w:type="dxa"/>
          </w:tcPr>
          <w:p>
            <w:pPr>
              <w:pStyle w:val="TableText"/>
            </w:pPr>
            <w:r>
              <w:t xml:space="preserve">Sync Pulse</w:t>
            </w:r>
          </w:p>
        </w:tc>
        <w:tc>
          <w:tcPr>
            <w:tcW w:w="1620" w:type="dxa"/>
          </w:tcPr>
          <w:p>
            <w:pPr>
              <w:pStyle w:val="TableText"/>
            </w:pPr>
            <w:r>
              <w:t xml:space="preserve">Synchronization channel</w:t>
            </w:r>
          </w:p>
        </w:tc>
        <w:tc>
          <w:tcPr>
            <w:tcW w:w="1530" w:type="dxa"/>
          </w:tcPr>
          <w:p>
            <w:pPr>
              <w:pStyle w:val="TableText"/>
            </w:pPr>
            <w:r>
              <w:t xml:space="preserve">64-bit float</w:t>
            </w:r>
          </w:p>
        </w:tc>
        <w:tc>
          <w:tcPr>
            <w:tcW w:w="1080" w:type="dxa"/>
          </w:tcPr>
          <w:p>
            <w:pPr>
              <w:pStyle w:val="TableText"/>
              <w:jc w:val="center"/>
            </w:pPr>
            <w:r>
              <w:t xml:space="preserve">200 kHz</w:t>
            </w:r>
          </w:p>
        </w:tc>
        <w:tc>
          <w:tcPr>
            <w:tcW w:w="1260" w:type="dxa"/>
          </w:tcPr>
          <w:p>
            <w:pPr>
              <w:pStyle w:val="TableText"/>
            </w:pPr>
            <w:r>
              <w:t xml:space="preserve">—</w:t>
            </w:r>
          </w:p>
        </w:tc>
        <w:tc>
          <w:tcPr>
            <w:tcW w:w="2250" w:type="dxa"/>
          </w:tcPr>
          <w:p>
            <w:pPr>
              <w:pStyle w:val="TableText"/>
            </w:pPr>
            <w:r>
              <w:t xml:space="preserve">Recorded synchronization channel; not directly used in present analysis</w:t>
            </w:r>
          </w:p>
        </w:tc>
      </w:tr>
      <w:tr>
        <w:trPr>
          <w:cantSplit/>
        </w:trPr>
        <w:tc>
          <w:tcPr>
            <w:tcW w:w="1260" w:type="dxa"/>
          </w:tcPr>
          <w:p>
            <w:pPr>
              <w:pStyle w:val="TableText"/>
            </w:pPr>
            <w:r>
              <w:t xml:space="preserve">X-Machine</w:t>
            </w:r>
          </w:p>
        </w:tc>
        <w:tc>
          <w:tcPr>
            <w:tcW w:w="1620" w:type="dxa"/>
          </w:tcPr>
          <w:p>
            <w:pPr>
              <w:pStyle w:val="TableText"/>
            </w:pPr>
            <w:r>
              <w:t xml:space="preserve">Mapped machine X coordinate</w:t>
            </w:r>
          </w:p>
        </w:tc>
        <w:tc>
          <w:tcPr>
            <w:tcW w:w="1530" w:type="dxa"/>
          </w:tcPr>
          <w:p>
            <w:pPr>
              <w:pStyle w:val="TableText"/>
            </w:pPr>
            <w:r>
              <w:t xml:space="preserve">64-bit float</w:t>
            </w:r>
          </w:p>
        </w:tc>
        <w:tc>
          <w:tcPr>
            <w:tcW w:w="1080" w:type="dxa"/>
          </w:tcPr>
          <w:p>
            <w:pPr>
              <w:pStyle w:val="TableText"/>
              <w:jc w:val="center"/>
            </w:pPr>
            <w:r>
              <w:t xml:space="preserve">200 kHz</w:t>
            </w:r>
          </w:p>
        </w:tc>
        <w:tc>
          <w:tcPr>
            <w:tcW w:w="1260" w:type="dxa"/>
          </w:tcPr>
          <w:p>
            <w:pPr>
              <w:pStyle w:val="TableText"/>
            </w:pPr>
            <w:r>
              <w:t xml:space="preserve">mm</w:t>
            </w:r>
          </w:p>
        </w:tc>
        <w:tc>
          <w:tcPr>
            <w:tcW w:w="2250" w:type="dxa"/>
          </w:tcPr>
          <w:p>
            <w:pPr>
              <w:pStyle w:val="TableText"/>
            </w:pPr>
            <w:r>
              <w:t xml:space="preserve">Machine/build plate coordinate</w:t>
            </w:r>
          </w:p>
        </w:tc>
      </w:tr>
      <w:tr>
        <w:trPr>
          <w:cantSplit/>
        </w:trPr>
        <w:tc>
          <w:tcPr>
            <w:tcW w:w="1260" w:type="dxa"/>
          </w:tcPr>
          <w:p>
            <w:pPr>
              <w:pStyle w:val="TableText"/>
            </w:pPr>
            <w:r>
              <w:t xml:space="preserve">Y-Machine</w:t>
            </w:r>
          </w:p>
        </w:tc>
        <w:tc>
          <w:tcPr>
            <w:tcW w:w="1620" w:type="dxa"/>
          </w:tcPr>
          <w:p>
            <w:pPr>
              <w:pStyle w:val="TableText"/>
            </w:pPr>
            <w:r>
              <w:t xml:space="preserve">Mapped machine Y coordinate</w:t>
            </w:r>
          </w:p>
        </w:tc>
        <w:tc>
          <w:tcPr>
            <w:tcW w:w="1530" w:type="dxa"/>
          </w:tcPr>
          <w:p>
            <w:pPr>
              <w:pStyle w:val="TableText"/>
            </w:pPr>
            <w:r>
              <w:t xml:space="preserve">64-bit float</w:t>
            </w:r>
          </w:p>
        </w:tc>
        <w:tc>
          <w:tcPr>
            <w:tcW w:w="1080" w:type="dxa"/>
          </w:tcPr>
          <w:p>
            <w:pPr>
              <w:pStyle w:val="TableText"/>
              <w:jc w:val="center"/>
            </w:pPr>
            <w:r>
              <w:t xml:space="preserve">200 kHz</w:t>
            </w:r>
          </w:p>
        </w:tc>
        <w:tc>
          <w:tcPr>
            <w:tcW w:w="1260" w:type="dxa"/>
          </w:tcPr>
          <w:p>
            <w:pPr>
              <w:pStyle w:val="TableText"/>
            </w:pPr>
            <w:r>
              <w:t xml:space="preserve">mm</w:t>
            </w:r>
          </w:p>
        </w:tc>
        <w:tc>
          <w:tcPr>
            <w:tcW w:w="2250" w:type="dxa"/>
          </w:tcPr>
          <w:p>
            <w:pPr>
              <w:pStyle w:val="TableText"/>
            </w:pPr>
            <w:r>
              <w:t xml:space="preserve">Machine/build plate coordinate</w:t>
            </w:r>
          </w:p>
        </w:tc>
      </w:tr>
      <w:tr>
        <w:trPr>
          <w:cantSplit/>
        </w:trPr>
        <w:tc>
          <w:tcPr>
            <w:tcW w:w="1260" w:type="dxa"/>
          </w:tcPr>
          <w:p>
            <w:pPr>
              <w:pStyle w:val="TableText"/>
            </w:pPr>
            <w:r>
              <w:t xml:space="preserve">Coaxial GigE camera</w:t>
            </w:r>
          </w:p>
        </w:tc>
        <w:tc>
          <w:tcPr>
            <w:tcW w:w="1620" w:type="dxa"/>
          </w:tcPr>
          <w:p>
            <w:pPr>
              <w:pStyle w:val="TableText"/>
            </w:pPr>
            <w:r>
              <w:t xml:space="preserve">Coaxial melt-pool image</w:t>
            </w:r>
          </w:p>
        </w:tc>
        <w:tc>
          <w:tcPr>
            <w:tcW w:w="1530" w:type="dxa"/>
          </w:tcPr>
          <w:p>
            <w:pPr>
              <w:pStyle w:val="TableText"/>
            </w:pPr>
            <w:r>
              <w:t xml:space="preserve">8-bit grayscale (uint8), 24 × 64 pixels</w:t>
            </w:r>
          </w:p>
        </w:tc>
        <w:tc>
          <w:tcPr>
            <w:tcW w:w="1080" w:type="dxa"/>
          </w:tcPr>
          <w:p>
            <w:pPr>
              <w:pStyle w:val="TableText"/>
              <w:jc w:val="center"/>
            </w:pPr>
            <w:r>
              <w:t xml:space="preserve">8 kHz</w:t>
            </w:r>
          </w:p>
        </w:tc>
        <w:tc>
          <w:tcPr>
            <w:tcW w:w="1260" w:type="dxa"/>
          </w:tcPr>
          <w:p>
            <w:pPr>
              <w:pStyle w:val="TableText"/>
            </w:pPr>
            <w:r>
              <w:t xml:space="preserve">Dimensionless intensity (0–255)</w:t>
            </w:r>
          </w:p>
        </w:tc>
        <w:tc>
          <w:tcPr>
            <w:tcW w:w="2250" w:type="dxa"/>
          </w:tcPr>
          <w:p>
            <w:pPr>
              <w:pStyle w:val="TableText"/>
            </w:pPr>
            <w:r>
              <w:t xml:space="preserve">Source imagery for experimental melt-pool geometry</w:t>
            </w:r>
          </w:p>
        </w:tc>
      </w:tr>
      <w:tr>
        <w:trPr>
          <w:cantSplit/>
        </w:trPr>
        <w:tc>
          <w:tcPr>
            <w:tcW w:w="1260" w:type="dxa"/>
          </w:tcPr>
          <w:p>
            <w:pPr>
              <w:pStyle w:val="TableText"/>
            </w:pPr>
            <w:r>
              <w:t xml:space="preserve">H</w:t>
            </w:r>
          </w:p>
        </w:tc>
        <w:tc>
          <w:tcPr>
            <w:tcW w:w="1620" w:type="dxa"/>
          </w:tcPr>
          <w:p>
            <w:pPr>
              <w:pStyle w:val="TableText"/>
            </w:pPr>
            <w:r>
              <w:t xml:space="preserve">Threshold derived major axis dimension</w:t>
            </w:r>
          </w:p>
        </w:tc>
        <w:tc>
          <w:tcPr>
            <w:tcW w:w="1530" w:type="dxa"/>
          </w:tcPr>
          <w:p>
            <w:pPr>
              <w:pStyle w:val="TableText"/>
            </w:pPr>
            <w:r>
              <w:t xml:space="preserve">64-bit float</w:t>
            </w:r>
          </w:p>
        </w:tc>
        <w:tc>
          <w:tcPr>
            <w:tcW w:w="1080" w:type="dxa"/>
          </w:tcPr>
          <w:p>
            <w:pPr>
              <w:pStyle w:val="TableText"/>
              <w:jc w:val="center"/>
            </w:pPr>
            <w:r>
              <w:t xml:space="preserve">8 kHz-Derived</w:t>
            </w:r>
          </w:p>
        </w:tc>
        <w:tc>
          <w:tcPr>
            <w:tcW w:w="1260" w:type="dxa"/>
          </w:tcPr>
          <w:p>
            <w:pPr>
              <w:pStyle w:val="TableText"/>
            </w:pPr>
            <w:r>
              <w:t xml:space="preserve">pixels</w:t>
            </w:r>
          </w:p>
        </w:tc>
        <w:tc>
          <w:tcPr>
            <w:tcW w:w="2250" w:type="dxa"/>
          </w:tcPr>
          <w:p>
            <w:pPr>
              <w:pStyle w:val="TableText"/>
            </w:pPr>
            <w:r>
              <w:t xml:space="preserve">Experimental melt pool major axis dimension</w:t>
            </w:r>
          </w:p>
        </w:tc>
      </w:tr>
      <w:tr>
        <w:trPr>
          <w:cantSplit/>
        </w:trPr>
        <w:tc>
          <w:tcPr>
            <w:tcW w:w="1260" w:type="dxa"/>
          </w:tcPr>
          <w:p>
            <w:pPr>
              <w:pStyle w:val="TableText"/>
            </w:pPr>
            <w:r>
              <w:t xml:space="preserve">W</w:t>
            </w:r>
          </w:p>
        </w:tc>
        <w:tc>
          <w:tcPr>
            <w:tcW w:w="1620" w:type="dxa"/>
          </w:tcPr>
          <w:p>
            <w:pPr>
              <w:pStyle w:val="TableText"/>
            </w:pPr>
            <w:r>
              <w:t xml:space="preserve">Threshold derived minor axis dimension</w:t>
            </w:r>
          </w:p>
        </w:tc>
        <w:tc>
          <w:tcPr>
            <w:tcW w:w="1530" w:type="dxa"/>
          </w:tcPr>
          <w:p>
            <w:pPr>
              <w:pStyle w:val="TableText"/>
            </w:pPr>
            <w:r>
              <w:t xml:space="preserve">64-bit float</w:t>
            </w:r>
          </w:p>
        </w:tc>
        <w:tc>
          <w:tcPr>
            <w:tcW w:w="1080" w:type="dxa"/>
          </w:tcPr>
          <w:p>
            <w:pPr>
              <w:pStyle w:val="TableText"/>
              <w:jc w:val="center"/>
            </w:pPr>
            <w:r>
              <w:t xml:space="preserve">8 kHz-Derived</w:t>
            </w:r>
          </w:p>
        </w:tc>
        <w:tc>
          <w:tcPr>
            <w:tcW w:w="1260" w:type="dxa"/>
          </w:tcPr>
          <w:p>
            <w:pPr>
              <w:pStyle w:val="TableText"/>
            </w:pPr>
            <w:r>
              <w:t xml:space="preserve">pixels</w:t>
            </w:r>
          </w:p>
        </w:tc>
        <w:tc>
          <w:tcPr>
            <w:tcW w:w="2250" w:type="dxa"/>
          </w:tcPr>
          <w:p>
            <w:pPr>
              <w:pStyle w:val="TableText"/>
            </w:pPr>
            <w:r>
              <w:t xml:space="preserve">Experimental melt pool minor axis dimension</w:t>
            </w:r>
          </w:p>
        </w:tc>
      </w:tr>
    </w:tbl>
    <w:p>
      <w:pPr>
        <w:pStyle w:val="TableNote"/>
      </w:pPr>
    </w:p>
    <w:p>
      <w:pPr>
        <w:pStyle w:val="Placement"/>
      </w:pPr>
      <w:r>
        <w:t xml:space="preserve">F2 · §3.2.4, first PLACEHOLDER (after 'Camera Image and H/W Definition')</w:t>
      </w:r>
    </w:p>
    <w:p>
      <w:pPr>
        <w:pStyle w:val="Figure"/>
      </w:pPr>
      <w:r>
        <w:drawing>
          <wp:inline distT="0" distB="0" distL="0" distR="0">
            <wp:extent cx="4187952" cy="2862072"/>
            <wp:docPr id="2" name="Figure 2"/>
            <wp:cNvGraphicFramePr>
              <a:graphicFrameLocks noChangeAspect="1"/>
            </wp:cNvGraphicFramePr>
            <a:graphic>
              <a:graphicData uri="http://schemas.openxmlformats.org/drawingml/2006/picture">
                <pic:pic>
                  <pic:nvPicPr>
                    <pic:cNvPr id="2" name="F2_extraction.png"/>
                    <pic:cNvPicPr/>
                  </pic:nvPicPr>
                  <pic:blipFill>
                    <a:blip r:embed="rIdImg2"/>
                    <a:stretch>
                      <a:fillRect/>
                    </a:stretch>
                  </pic:blipFill>
                  <pic:spPr>
                    <a:xfrm>
                      <a:off x="0" y="0"/>
                      <a:ext cx="4187952" cy="2862072"/>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2</w:t>
      </w:r>
      <w:r>
        <w:fldChar w:fldCharType="end"/>
      </w:r>
      <w:r>
        <w:t xml:space="preserve">. Extraction of the experimental melt-pool dimensions.</w:t>
      </w:r>
      <w:r>
        <w:rPr>
          <w:b w:val="0"/>
          <w:bCs w:val="0"/>
        </w:rPr>
        <w:t xml:space="preserve"> (a) Coaxial frame 3298 of coupon 20260730:part_3 (160 W, 950 mm/s, 70.2 J/mm³), cropped from the 64 × 24 px image. (b) Pixels at or above 150 counts; the largest 8-connected component is the camera's melt pool. (c) Its external contour and minimum-area rectangle. (d) H and W are the rectangle's long and short sides, in µm at the nominal 8 µm/px. The frame is re-measured with the documented convention; its stored H × W is 11.1 × 9.1 px.</w:t>
      </w:r>
    </w:p>
    <w:p>
      <w:pPr>
        <w:pStyle w:val="Placement"/>
      </w:pPr>
      <w:r>
        <w:t xml:space="preserve">F3 · §3.2.5, PLACEHOLDER at the end of the section (or §3.2.4, after 'Scored Frame Selection')</w:t>
      </w:r>
    </w:p>
    <w:p>
      <w:pPr>
        <w:pStyle w:val="Figure"/>
      </w:pPr>
      <w:r>
        <w:drawing>
          <wp:inline distT="0" distB="0" distL="0" distR="0">
            <wp:extent cx="5715000" cy="2976374"/>
            <wp:docPr id="3" name="Figure 3"/>
            <wp:cNvGraphicFramePr>
              <a:graphicFrameLocks noChangeAspect="1"/>
            </wp:cNvGraphicFramePr>
            <a:graphic>
              <a:graphicData uri="http://schemas.openxmlformats.org/drawingml/2006/picture">
                <pic:pic>
                  <pic:nvPicPr>
                    <pic:cNvPr id="3" name="F3_scoring_hierarchy.png"/>
                    <pic:cNvPicPr/>
                  </pic:nvPicPr>
                  <pic:blipFill>
                    <a:blip r:embed="rIdImg3"/>
                    <a:stretch>
                      <a:fillRect/>
                    </a:stretch>
                  </pic:blipFill>
                  <pic:spPr>
                    <a:xfrm>
                      <a:off x="0" y="0"/>
                      <a:ext cx="5715000" cy="2976374"/>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3</w:t>
      </w:r>
      <w:r>
        <w:fldChar w:fldCharType="end"/>
      </w:r>
      <w:r>
        <w:t xml:space="preserve">. Observation, scoring and hierarchical aggregation.</w:t>
      </w:r>
      <w:r>
        <w:rPr>
          <w:b w:val="0"/>
          <w:bCs w:val="0"/>
        </w:rPr>
        <w:t xml:space="preserve"> (a) The path of a camera frame from synchronization to scoring; shaded steps exclude frames, and excluded frames are recorded rather than deleted. (b) Squared log residuals are averaged from frame to scan track, coupon, process condition and analysis group, each level as an unweighted mean, so that densely sampled tracks, coupons or conditions receive no extra weight.</w:t>
      </w:r>
    </w:p>
    <w:p>
      <w:pPr>
        <w:pStyle w:val="Placement"/>
      </w:pPr>
      <w:r>
        <w:t xml:space="preserve">T4 · §3.3.4, PLACEHOLDER after the phase-dependent conductivity definition</w:t>
      </w:r>
    </w:p>
    <w:p>
      <w:pPr>
        <w:pStyle w:val="TableTitle"/>
      </w:pPr>
      <w:r>
        <w:t xml:space="preserve">Table </w:t>
      </w:r>
      <w:r>
        <w:fldChar w:fldCharType="begin"/>
      </w:r>
      <w:r>
        <w:instrText xml:space="preserve"> SEQ Table \* ARABIC </w:instrText>
      </w:r>
      <w:r>
        <w:fldChar w:fldCharType="separate"/>
      </w:r>
      <w:r>
        <w:t>4</w:t>
      </w:r>
      <w:r>
        <w:fldChar w:fldCharType="end"/>
      </w:r>
      <w:r>
        <w:t xml:space="preserve">. 316L material properties used by the model</w:t>
      </w:r>
    </w:p>
    <w:tbl>
      <w:tblPr>
        <w:tblW w:w="9000" w:type="dxa"/>
        <w:tblLayout w:type="fixed"/>
        <w:tblBorders>
          <w:top w:val="single" w:sz="8" w:space="0" w:color="000000"/>
          <w:bottom w:val="single" w:sz="8" w:space="0" w:color="000000"/>
        </w:tblBorders>
        <w:tblCellMar>
          <w:left w:w="70" w:type="dxa"/>
          <w:right w:w="70" w:type="dxa"/>
        </w:tblCellMar>
        <w:tblLook w:val="0000" w:firstRow="0" w:lastRow="0" w:firstColumn="0" w:lastColumn="0" w:noHBand="1" w:noVBand="1"/>
      </w:tblPr>
      <w:tblGrid>
        <w:gridCol w:w="2520"/>
        <w:gridCol w:w="900"/>
        <w:gridCol w:w="1080"/>
        <w:gridCol w:w="1080"/>
        <w:gridCol w:w="3420"/>
      </w:tblGrid>
      <w:tr>
        <w:trPr>
          <w:tblHeader/>
          <w:cantSplit/>
        </w:trPr>
        <w:tc>
          <w:tcPr>
            <w:tcW w:w="2520" w:type="dxa"/>
            <w:tcBorders>
              <w:bottom w:val="single" w:sz="6" w:space="0" w:color="000000"/>
            </w:tcBorders>
            <w:vAlign w:val="bottom"/>
          </w:tcPr>
          <w:p>
            <w:pPr>
              <w:pStyle w:val="TableText"/>
            </w:pPr>
            <w:r>
              <w:rPr>
                <w:b/>
              </w:rPr>
              <w:t xml:space="preserve">Property</w:t>
            </w:r>
          </w:p>
        </w:tc>
        <w:tc>
          <w:tcPr>
            <w:tcW w:w="900" w:type="dxa"/>
            <w:tcBorders>
              <w:bottom w:val="single" w:sz="6" w:space="0" w:color="000000"/>
            </w:tcBorders>
            <w:vAlign w:val="bottom"/>
          </w:tcPr>
          <w:p>
            <w:pPr>
              <w:pStyle w:val="TableText"/>
            </w:pPr>
            <w:r>
              <w:rPr>
                <w:b/>
              </w:rPr>
              <w:t xml:space="preserve">Symbol</w:t>
            </w:r>
          </w:p>
        </w:tc>
        <w:tc>
          <w:tcPr>
            <w:tcW w:w="1080" w:type="dxa"/>
            <w:tcBorders>
              <w:bottom w:val="single" w:sz="6" w:space="0" w:color="000000"/>
            </w:tcBorders>
            <w:vAlign w:val="bottom"/>
          </w:tcPr>
          <w:p>
            <w:pPr>
              <w:pStyle w:val="TableText"/>
              <w:jc w:val="center"/>
            </w:pPr>
            <w:r>
              <w:rPr>
                <w:b/>
              </w:rPr>
              <w:t xml:space="preserve">Value</w:t>
            </w:r>
          </w:p>
        </w:tc>
        <w:tc>
          <w:tcPr>
            <w:tcW w:w="1080" w:type="dxa"/>
            <w:tcBorders>
              <w:bottom w:val="single" w:sz="6" w:space="0" w:color="000000"/>
            </w:tcBorders>
            <w:vAlign w:val="bottom"/>
          </w:tcPr>
          <w:p>
            <w:pPr>
              <w:pStyle w:val="TableText"/>
            </w:pPr>
            <w:r>
              <w:rPr>
                <w:b/>
              </w:rPr>
              <w:t xml:space="preserve">Units</w:t>
            </w:r>
          </w:p>
        </w:tc>
        <w:tc>
          <w:tcPr>
            <w:tcW w:w="3420" w:type="dxa"/>
            <w:tcBorders>
              <w:bottom w:val="single" w:sz="6" w:space="0" w:color="000000"/>
            </w:tcBorders>
            <w:vAlign w:val="bottom"/>
          </w:tcPr>
          <w:p>
            <w:pPr>
              <w:pStyle w:val="TableText"/>
            </w:pPr>
            <w:r>
              <w:rPr>
                <w:b/>
              </w:rPr>
              <w:t xml:space="preserve">Remark</w:t>
            </w:r>
          </w:p>
        </w:tc>
      </w:tr>
      <w:tr>
        <w:trPr>
          <w:cantSplit/>
        </w:trPr>
        <w:tc>
          <w:tcPr>
            <w:tcW w:w="2520" w:type="dxa"/>
          </w:tcPr>
          <w:p>
            <w:pPr>
              <w:pStyle w:val="TableText"/>
            </w:pPr>
            <w:r>
              <w:t xml:space="preserve">Density</w:t>
            </w:r>
          </w:p>
        </w:tc>
        <w:tc>
          <w:tcPr>
            <w:tcW w:w="900" w:type="dxa"/>
          </w:tcPr>
          <w:p>
            <w:pPr>
              <w:pStyle w:val="TableText"/>
            </w:pPr>
            <w:r>
              <w:t xml:space="preserve">ρ</w:t>
            </w:r>
          </w:p>
        </w:tc>
        <w:tc>
          <w:tcPr>
            <w:tcW w:w="1080" w:type="dxa"/>
          </w:tcPr>
          <w:p>
            <w:pPr>
              <w:pStyle w:val="TableText"/>
              <w:jc w:val="center"/>
            </w:pPr>
            <w:r>
              <w:t xml:space="preserve">7950</w:t>
            </w:r>
          </w:p>
        </w:tc>
        <w:tc>
          <w:tcPr>
            <w:tcW w:w="1080" w:type="dxa"/>
          </w:tcPr>
          <w:p>
            <w:pPr>
              <w:pStyle w:val="TableText"/>
            </w:pPr>
            <w:r>
              <w:t xml:space="preserve">kg/m³</w:t>
            </w:r>
          </w:p>
        </w:tc>
        <w:tc>
          <w:tcPr>
            <w:tcW w:w="3420" w:type="dxa"/>
          </w:tcPr>
          <w:p>
            <w:pPr>
              <w:pStyle w:val="TableText"/>
            </w:pPr>
            <w:r>
              <w:t xml:space="preserve">constant</w:t>
            </w:r>
          </w:p>
        </w:tc>
      </w:tr>
      <w:tr>
        <w:trPr>
          <w:cantSplit/>
        </w:trPr>
        <w:tc>
          <w:tcPr>
            <w:tcW w:w="2520" w:type="dxa"/>
          </w:tcPr>
          <w:p>
            <w:pPr>
              <w:pStyle w:val="TableText"/>
            </w:pPr>
            <w:r>
              <w:t xml:space="preserve">Solidus temperature</w:t>
            </w:r>
          </w:p>
        </w:tc>
        <w:tc>
          <w:tcPr>
            <w:tcW w:w="900" w:type="dxa"/>
          </w:tcPr>
          <w:p>
            <w:pPr>
              <w:pStyle w:val="TableText"/>
            </w:pPr>
            <w:r>
              <w:t xml:space="preserve">T</w:t>
            </w:r>
            <w:r>
              <w:rPr>
                <w:vertAlign w:val="subscript"/>
              </w:rPr>
              <w:t xml:space="preserve">s</w:t>
            </w:r>
          </w:p>
        </w:tc>
        <w:tc>
          <w:tcPr>
            <w:tcW w:w="1080" w:type="dxa"/>
          </w:tcPr>
          <w:p>
            <w:pPr>
              <w:pStyle w:val="TableText"/>
              <w:jc w:val="center"/>
            </w:pPr>
            <w:r>
              <w:t xml:space="preserve">1648.15</w:t>
            </w:r>
          </w:p>
        </w:tc>
        <w:tc>
          <w:tcPr>
            <w:tcW w:w="1080" w:type="dxa"/>
          </w:tcPr>
          <w:p>
            <w:pPr>
              <w:pStyle w:val="TableText"/>
            </w:pPr>
            <w:r>
              <w:t xml:space="preserve">K</w:t>
            </w:r>
          </w:p>
        </w:tc>
        <w:tc>
          <w:tcPr>
            <w:tcW w:w="3420" w:type="dxa"/>
          </w:tcPr>
          <w:p>
            <w:pPr>
              <w:pStyle w:val="TableText"/>
            </w:pPr>
            <w:r>
              <w:t xml:space="preserve">1375 °C</w:t>
            </w:r>
          </w:p>
        </w:tc>
      </w:tr>
      <w:tr>
        <w:trPr>
          <w:cantSplit/>
        </w:trPr>
        <w:tc>
          <w:tcPr>
            <w:tcW w:w="2520" w:type="dxa"/>
          </w:tcPr>
          <w:p>
            <w:pPr>
              <w:pStyle w:val="TableText"/>
            </w:pPr>
            <w:r>
              <w:t xml:space="preserve">Liquidus temperature</w:t>
            </w:r>
          </w:p>
        </w:tc>
        <w:tc>
          <w:tcPr>
            <w:tcW w:w="900" w:type="dxa"/>
          </w:tcPr>
          <w:p>
            <w:pPr>
              <w:pStyle w:val="TableText"/>
            </w:pPr>
            <w:r>
              <w:t xml:space="preserve">T</w:t>
            </w:r>
            <w:r>
              <w:rPr>
                <w:vertAlign w:val="subscript"/>
              </w:rPr>
              <w:t xml:space="preserve">l</w:t>
            </w:r>
          </w:p>
        </w:tc>
        <w:tc>
          <w:tcPr>
            <w:tcW w:w="1080" w:type="dxa"/>
          </w:tcPr>
          <w:p>
            <w:pPr>
              <w:pStyle w:val="TableText"/>
              <w:jc w:val="center"/>
            </w:pPr>
            <w:r>
              <w:t xml:space="preserve">1673.15</w:t>
            </w:r>
          </w:p>
        </w:tc>
        <w:tc>
          <w:tcPr>
            <w:tcW w:w="1080" w:type="dxa"/>
          </w:tcPr>
          <w:p>
            <w:pPr>
              <w:pStyle w:val="TableText"/>
            </w:pPr>
            <w:r>
              <w:t xml:space="preserve">K</w:t>
            </w:r>
          </w:p>
        </w:tc>
        <w:tc>
          <w:tcPr>
            <w:tcW w:w="3420" w:type="dxa"/>
          </w:tcPr>
          <w:p>
            <w:pPr>
              <w:pStyle w:val="TableText"/>
            </w:pPr>
            <w:r>
              <w:t xml:space="preserve">1400 °C</w:t>
            </w:r>
          </w:p>
        </w:tc>
      </w:tr>
      <w:tr>
        <w:trPr>
          <w:cantSplit/>
        </w:trPr>
        <w:tc>
          <w:tcPr>
            <w:tcW w:w="2520" w:type="dxa"/>
          </w:tcPr>
          <w:p>
            <w:pPr>
              <w:pStyle w:val="TableText"/>
            </w:pPr>
            <w:r>
              <w:t xml:space="preserve">Boiling temperature</w:t>
            </w:r>
          </w:p>
        </w:tc>
        <w:tc>
          <w:tcPr>
            <w:tcW w:w="900" w:type="dxa"/>
          </w:tcPr>
          <w:p>
            <w:pPr>
              <w:pStyle w:val="TableText"/>
            </w:pPr>
            <w:r>
              <w:t xml:space="preserve">T</w:t>
            </w:r>
            <w:r>
              <w:rPr>
                <w:vertAlign w:val="subscript"/>
              </w:rPr>
              <w:t xml:space="preserve">b</w:t>
            </w:r>
          </w:p>
        </w:tc>
        <w:tc>
          <w:tcPr>
            <w:tcW w:w="1080" w:type="dxa"/>
          </w:tcPr>
          <w:p>
            <w:pPr>
              <w:pStyle w:val="TableText"/>
              <w:jc w:val="center"/>
            </w:pPr>
            <w:r>
              <w:t xml:space="preserve">3133.15</w:t>
            </w:r>
          </w:p>
        </w:tc>
        <w:tc>
          <w:tcPr>
            <w:tcW w:w="1080" w:type="dxa"/>
          </w:tcPr>
          <w:p>
            <w:pPr>
              <w:pStyle w:val="TableText"/>
            </w:pPr>
            <w:r>
              <w:t xml:space="preserve">K</w:t>
            </w:r>
          </w:p>
        </w:tc>
        <w:tc>
          <w:tcPr>
            <w:tcW w:w="3420" w:type="dxa"/>
          </w:tcPr>
          <w:p>
            <w:pPr>
              <w:pStyle w:val="TableText"/>
            </w:pPr>
            <w:r>
              <w:t xml:space="preserve">threshold of the boiling regulator</w:t>
            </w:r>
          </w:p>
        </w:tc>
      </w:tr>
      <w:tr>
        <w:trPr>
          <w:cantSplit/>
        </w:trPr>
        <w:tc>
          <w:tcPr>
            <w:tcW w:w="2520" w:type="dxa"/>
          </w:tcPr>
          <w:p>
            <w:pPr>
              <w:pStyle w:val="TableText"/>
            </w:pPr>
            <w:r>
              <w:t xml:space="preserve">Latent heat of fusion</w:t>
            </w:r>
          </w:p>
        </w:tc>
        <w:tc>
          <w:tcPr>
            <w:tcW w:w="900" w:type="dxa"/>
          </w:tcPr>
          <w:p>
            <w:pPr>
              <w:pStyle w:val="TableText"/>
            </w:pPr>
            <w:r>
              <w:t xml:space="preserve">L</w:t>
            </w:r>
          </w:p>
        </w:tc>
        <w:tc>
          <w:tcPr>
            <w:tcW w:w="1080" w:type="dxa"/>
          </w:tcPr>
          <w:p>
            <w:pPr>
              <w:pStyle w:val="TableText"/>
              <w:jc w:val="center"/>
            </w:pPr>
            <w:r>
              <w:t xml:space="preserve">260,000</w:t>
            </w:r>
          </w:p>
        </w:tc>
        <w:tc>
          <w:tcPr>
            <w:tcW w:w="1080" w:type="dxa"/>
          </w:tcPr>
          <w:p>
            <w:pPr>
              <w:pStyle w:val="TableText"/>
            </w:pPr>
            <w:r>
              <w:t xml:space="preserve">J/kg</w:t>
            </w:r>
          </w:p>
        </w:tc>
        <w:tc>
          <w:tcPr>
            <w:tcW w:w="3420" w:type="dxa"/>
          </w:tcPr>
          <w:p>
            <w:pPr>
              <w:pStyle w:val="TableText"/>
            </w:pPr>
            <w:r>
              <w:t xml:space="preserve">spread over the 25 K mushy interval</w:t>
            </w:r>
          </w:p>
        </w:tc>
      </w:tr>
      <w:tr>
        <w:trPr>
          <w:cantSplit/>
        </w:trPr>
        <w:tc>
          <w:tcPr>
            <w:tcW w:w="2520" w:type="dxa"/>
          </w:tcPr>
          <w:p>
            <w:pPr>
              <w:pStyle w:val="TableText"/>
            </w:pPr>
            <w:r>
              <w:t xml:space="preserve">Specific heat, solid</w:t>
            </w:r>
          </w:p>
        </w:tc>
        <w:tc>
          <w:tcPr>
            <w:tcW w:w="900" w:type="dxa"/>
          </w:tcPr>
          <w:p>
            <w:pPr>
              <w:pStyle w:val="TableText"/>
            </w:pPr>
            <w:r>
              <w:t xml:space="preserve">c</w:t>
            </w:r>
            <w:r>
              <w:rPr>
                <w:vertAlign w:val="subscript"/>
              </w:rPr>
              <w:t xml:space="preserve">p,s</w:t>
            </w:r>
          </w:p>
        </w:tc>
        <w:tc>
          <w:tcPr>
            <w:tcW w:w="1080" w:type="dxa"/>
          </w:tcPr>
          <w:p>
            <w:pPr>
              <w:pStyle w:val="TableText"/>
              <w:jc w:val="center"/>
            </w:pPr>
            <w:r>
              <w:t xml:space="preserve">500</w:t>
            </w:r>
          </w:p>
        </w:tc>
        <w:tc>
          <w:tcPr>
            <w:tcW w:w="1080" w:type="dxa"/>
          </w:tcPr>
          <w:p>
            <w:pPr>
              <w:pStyle w:val="TableText"/>
            </w:pPr>
            <w:r>
              <w:t xml:space="preserve">J/(kg·K)</w:t>
            </w:r>
          </w:p>
        </w:tc>
        <w:tc>
          <w:tcPr>
            <w:tcW w:w="3420" w:type="dxa"/>
          </w:tcPr>
          <w:p>
            <w:pPr>
              <w:pStyle w:val="TableText"/>
            </w:pPr>
            <w:r>
              <w:t xml:space="preserve">T ≤ T</w:t>
            </w:r>
            <w:r>
              <w:rPr>
                <w:vertAlign w:val="subscript"/>
              </w:rPr>
              <w:t xml:space="preserve">s</w:t>
            </w:r>
          </w:p>
        </w:tc>
      </w:tr>
      <w:tr>
        <w:trPr>
          <w:cantSplit/>
        </w:trPr>
        <w:tc>
          <w:tcPr>
            <w:tcW w:w="2520" w:type="dxa"/>
          </w:tcPr>
          <w:p>
            <w:pPr>
              <w:pStyle w:val="TableText"/>
            </w:pPr>
            <w:r>
              <w:t xml:space="preserve">Specific heat, mushy (sensible)</w:t>
            </w:r>
          </w:p>
        </w:tc>
        <w:tc>
          <w:tcPr>
            <w:tcW w:w="900" w:type="dxa"/>
          </w:tcPr>
          <w:p>
            <w:pPr>
              <w:pStyle w:val="TableText"/>
            </w:pPr>
            <w:r>
              <w:t xml:space="preserve">c</w:t>
            </w:r>
            <w:r>
              <w:rPr>
                <w:vertAlign w:val="subscript"/>
              </w:rPr>
              <w:t xml:space="preserve">p,m</w:t>
            </w:r>
          </w:p>
        </w:tc>
        <w:tc>
          <w:tcPr>
            <w:tcW w:w="1080" w:type="dxa"/>
          </w:tcPr>
          <w:p>
            <w:pPr>
              <w:pStyle w:val="TableText"/>
              <w:jc w:val="center"/>
            </w:pPr>
            <w:r>
              <w:t xml:space="preserve">650</w:t>
            </w:r>
          </w:p>
        </w:tc>
        <w:tc>
          <w:tcPr>
            <w:tcW w:w="1080" w:type="dxa"/>
          </w:tcPr>
          <w:p>
            <w:pPr>
              <w:pStyle w:val="TableText"/>
            </w:pPr>
            <w:r>
              <w:t xml:space="preserve">J/(kg·K)</w:t>
            </w:r>
          </w:p>
        </w:tc>
        <w:tc>
          <w:tcPr>
            <w:tcW w:w="3420" w:type="dxa"/>
          </w:tcPr>
          <w:p>
            <w:pPr>
              <w:pStyle w:val="TableText"/>
            </w:pPr>
            <w:r>
              <w:t xml:space="preserve">T</w:t>
            </w:r>
            <w:r>
              <w:rPr>
                <w:vertAlign w:val="subscript"/>
              </w:rPr>
              <w:t xml:space="preserve">s</w:t>
            </w:r>
            <w:r>
              <w:t xml:space="preserve"> &lt; T &lt; T</w:t>
            </w:r>
            <w:r>
              <w:rPr>
                <w:vertAlign w:val="subscript"/>
              </w:rPr>
              <w:t xml:space="preserve">l</w:t>
            </w:r>
          </w:p>
        </w:tc>
      </w:tr>
      <w:tr>
        <w:trPr>
          <w:cantSplit/>
        </w:trPr>
        <w:tc>
          <w:tcPr>
            <w:tcW w:w="2520" w:type="dxa"/>
          </w:tcPr>
          <w:p>
            <w:pPr>
              <w:pStyle w:val="TableText"/>
            </w:pPr>
            <w:r>
              <w:t xml:space="preserve">Specific heat, mushy (effective)</w:t>
            </w:r>
          </w:p>
        </w:tc>
        <w:tc>
          <w:tcPr>
            <w:tcW w:w="900" w:type="dxa"/>
          </w:tcPr>
          <w:p>
            <w:pPr>
              <w:pStyle w:val="TableText"/>
            </w:pPr>
            <w:r>
              <w:t xml:space="preserve">c</w:t>
            </w:r>
            <w:r>
              <w:rPr>
                <w:vertAlign w:val="subscript"/>
              </w:rPr>
              <w:t xml:space="preserve">p,eff</w:t>
            </w:r>
          </w:p>
        </w:tc>
        <w:tc>
          <w:tcPr>
            <w:tcW w:w="1080" w:type="dxa"/>
          </w:tcPr>
          <w:p>
            <w:pPr>
              <w:pStyle w:val="TableText"/>
              <w:jc w:val="center"/>
            </w:pPr>
            <w:r>
              <w:t xml:space="preserve">11,050</w:t>
            </w:r>
          </w:p>
        </w:tc>
        <w:tc>
          <w:tcPr>
            <w:tcW w:w="1080" w:type="dxa"/>
          </w:tcPr>
          <w:p>
            <w:pPr>
              <w:pStyle w:val="TableText"/>
            </w:pPr>
            <w:r>
              <w:t xml:space="preserve">J/(kg·K)</w:t>
            </w:r>
          </w:p>
        </w:tc>
        <w:tc>
          <w:tcPr>
            <w:tcW w:w="3420" w:type="dxa"/>
          </w:tcPr>
          <w:p>
            <w:pPr>
              <w:pStyle w:val="TableText"/>
            </w:pPr>
            <w:r>
              <w:t xml:space="preserve">c</w:t>
            </w:r>
            <w:r>
              <w:rPr>
                <w:vertAlign w:val="subscript"/>
              </w:rPr>
              <w:t xml:space="preserve">p,m</w:t>
            </w:r>
            <w:r>
              <w:t xml:space="preserve"> + L / (T</w:t>
            </w:r>
            <w:r>
              <w:rPr>
                <w:vertAlign w:val="subscript"/>
              </w:rPr>
              <w:t xml:space="preserve">l</w:t>
            </w:r>
            <w:r>
              <w:t xml:space="preserve"> − T</w:t>
            </w:r>
            <w:r>
              <w:rPr>
                <w:vertAlign w:val="subscript"/>
              </w:rPr>
              <w:t xml:space="preserve">s</w:t>
            </w:r>
            <w:r>
              <w:t xml:space="preserve">)</w:t>
            </w:r>
          </w:p>
        </w:tc>
      </w:tr>
      <w:tr>
        <w:trPr>
          <w:cantSplit/>
        </w:trPr>
        <w:tc>
          <w:tcPr>
            <w:tcW w:w="2520" w:type="dxa"/>
          </w:tcPr>
          <w:p>
            <w:pPr>
              <w:pStyle w:val="TableText"/>
            </w:pPr>
            <w:r>
              <w:t xml:space="preserve">Specific heat, liquid</w:t>
            </w:r>
          </w:p>
        </w:tc>
        <w:tc>
          <w:tcPr>
            <w:tcW w:w="900" w:type="dxa"/>
          </w:tcPr>
          <w:p>
            <w:pPr>
              <w:pStyle w:val="TableText"/>
            </w:pPr>
            <w:r>
              <w:t xml:space="preserve">c</w:t>
            </w:r>
            <w:r>
              <w:rPr>
                <w:vertAlign w:val="subscript"/>
              </w:rPr>
              <w:t xml:space="preserve">p,l</w:t>
            </w:r>
          </w:p>
        </w:tc>
        <w:tc>
          <w:tcPr>
            <w:tcW w:w="1080" w:type="dxa"/>
          </w:tcPr>
          <w:p>
            <w:pPr>
              <w:pStyle w:val="TableText"/>
              <w:jc w:val="center"/>
            </w:pPr>
            <w:r>
              <w:t xml:space="preserve">820</w:t>
            </w:r>
          </w:p>
        </w:tc>
        <w:tc>
          <w:tcPr>
            <w:tcW w:w="1080" w:type="dxa"/>
          </w:tcPr>
          <w:p>
            <w:pPr>
              <w:pStyle w:val="TableText"/>
            </w:pPr>
            <w:r>
              <w:t xml:space="preserve">J/(kg·K)</w:t>
            </w:r>
          </w:p>
        </w:tc>
        <w:tc>
          <w:tcPr>
            <w:tcW w:w="3420" w:type="dxa"/>
          </w:tcPr>
          <w:p>
            <w:pPr>
              <w:pStyle w:val="TableText"/>
            </w:pPr>
            <w:r>
              <w:t xml:space="preserve">T ≥ T</w:t>
            </w:r>
            <w:r>
              <w:rPr>
                <w:vertAlign w:val="subscript"/>
              </w:rPr>
              <w:t xml:space="preserve">l</w:t>
            </w:r>
          </w:p>
        </w:tc>
      </w:tr>
      <w:tr>
        <w:trPr>
          <w:cantSplit/>
        </w:trPr>
        <w:tc>
          <w:tcPr>
            <w:tcW w:w="2520" w:type="dxa"/>
          </w:tcPr>
          <w:p>
            <w:pPr>
              <w:pStyle w:val="TableText"/>
            </w:pPr>
            <w:r>
              <w:t xml:space="preserve">Conductivity, solid</w:t>
            </w:r>
          </w:p>
        </w:tc>
        <w:tc>
          <w:tcPr>
            <w:tcW w:w="900" w:type="dxa"/>
          </w:tcPr>
          <w:p>
            <w:pPr>
              <w:pStyle w:val="TableText"/>
            </w:pPr>
            <w:r>
              <w:t xml:space="preserve">k</w:t>
            </w:r>
            <w:r>
              <w:rPr>
                <w:vertAlign w:val="subscript"/>
              </w:rPr>
              <w:t xml:space="preserve">s</w:t>
            </w:r>
          </w:p>
        </w:tc>
        <w:tc>
          <w:tcPr>
            <w:tcW w:w="1080" w:type="dxa"/>
          </w:tcPr>
          <w:p>
            <w:pPr>
              <w:pStyle w:val="TableText"/>
              <w:jc w:val="center"/>
            </w:pPr>
            <w:r>
              <w:t xml:space="preserve">15</w:t>
            </w:r>
          </w:p>
        </w:tc>
        <w:tc>
          <w:tcPr>
            <w:tcW w:w="1080" w:type="dxa"/>
          </w:tcPr>
          <w:p>
            <w:pPr>
              <w:pStyle w:val="TableText"/>
            </w:pPr>
            <w:r>
              <w:t xml:space="preserve">W/(m·K)</w:t>
            </w:r>
          </w:p>
        </w:tc>
        <w:tc>
          <w:tcPr>
            <w:tcW w:w="3420" w:type="dxa"/>
          </w:tcPr>
          <w:p>
            <w:pPr>
              <w:pStyle w:val="TableText"/>
            </w:pPr>
            <w:r>
              <w:t xml:space="preserve">T ≤ T</w:t>
            </w:r>
            <w:r>
              <w:rPr>
                <w:vertAlign w:val="subscript"/>
              </w:rPr>
              <w:t xml:space="preserve">s</w:t>
            </w:r>
          </w:p>
        </w:tc>
      </w:tr>
      <w:tr>
        <w:trPr>
          <w:cantSplit/>
        </w:trPr>
        <w:tc>
          <w:tcPr>
            <w:tcW w:w="2520" w:type="dxa"/>
          </w:tcPr>
          <w:p>
            <w:pPr>
              <w:pStyle w:val="TableText"/>
            </w:pPr>
            <w:r>
              <w:t xml:space="preserve">Conductivity, mushy</w:t>
            </w:r>
          </w:p>
        </w:tc>
        <w:tc>
          <w:tcPr>
            <w:tcW w:w="900" w:type="dxa"/>
          </w:tcPr>
          <w:p>
            <w:pPr>
              <w:pStyle w:val="TableText"/>
            </w:pPr>
            <w:r>
              <w:t xml:space="preserve">k</w:t>
            </w:r>
            <w:r>
              <w:rPr>
                <w:vertAlign w:val="subscript"/>
              </w:rPr>
              <w:t xml:space="preserve">m</w:t>
            </w:r>
          </w:p>
        </w:tc>
        <w:tc>
          <w:tcPr>
            <w:tcW w:w="1080" w:type="dxa"/>
          </w:tcPr>
          <w:p>
            <w:pPr>
              <w:pStyle w:val="TableText"/>
              <w:jc w:val="center"/>
            </w:pPr>
            <w:r>
              <w:t xml:space="preserve">22</w:t>
            </w:r>
          </w:p>
        </w:tc>
        <w:tc>
          <w:tcPr>
            <w:tcW w:w="1080" w:type="dxa"/>
          </w:tcPr>
          <w:p>
            <w:pPr>
              <w:pStyle w:val="TableText"/>
            </w:pPr>
            <w:r>
              <w:t xml:space="preserve">W/(m·K)</w:t>
            </w:r>
          </w:p>
        </w:tc>
        <w:tc>
          <w:tcPr>
            <w:tcW w:w="3420" w:type="dxa"/>
          </w:tcPr>
          <w:p>
            <w:pPr>
              <w:pStyle w:val="TableText"/>
            </w:pPr>
            <w:r>
              <w:t xml:space="preserve">T</w:t>
            </w:r>
            <w:r>
              <w:rPr>
                <w:vertAlign w:val="subscript"/>
              </w:rPr>
              <w:t xml:space="preserve">s</w:t>
            </w:r>
            <w:r>
              <w:t xml:space="preserve"> &lt; T &lt; T</w:t>
            </w:r>
            <w:r>
              <w:rPr>
                <w:vertAlign w:val="subscript"/>
              </w:rPr>
              <w:t xml:space="preserve">l</w:t>
            </w:r>
          </w:p>
        </w:tc>
      </w:tr>
      <w:tr>
        <w:trPr>
          <w:cantSplit/>
        </w:trPr>
        <w:tc>
          <w:tcPr>
            <w:tcW w:w="2520" w:type="dxa"/>
          </w:tcPr>
          <w:p>
            <w:pPr>
              <w:pStyle w:val="TableText"/>
            </w:pPr>
            <w:r>
              <w:t xml:space="preserve">Conductivity, liquid</w:t>
            </w:r>
          </w:p>
        </w:tc>
        <w:tc>
          <w:tcPr>
            <w:tcW w:w="900" w:type="dxa"/>
          </w:tcPr>
          <w:p>
            <w:pPr>
              <w:pStyle w:val="TableText"/>
            </w:pPr>
            <w:r>
              <w:t xml:space="preserve">k</w:t>
            </w:r>
            <w:r>
              <w:rPr>
                <w:vertAlign w:val="subscript"/>
              </w:rPr>
              <w:t xml:space="preserve">l</w:t>
            </w:r>
          </w:p>
        </w:tc>
        <w:tc>
          <w:tcPr>
            <w:tcW w:w="1080" w:type="dxa"/>
          </w:tcPr>
          <w:p>
            <w:pPr>
              <w:pStyle w:val="TableText"/>
              <w:jc w:val="center"/>
            </w:pPr>
            <w:r>
              <w:t xml:space="preserve">30</w:t>
            </w:r>
          </w:p>
        </w:tc>
        <w:tc>
          <w:tcPr>
            <w:tcW w:w="1080" w:type="dxa"/>
          </w:tcPr>
          <w:p>
            <w:pPr>
              <w:pStyle w:val="TableText"/>
            </w:pPr>
            <w:r>
              <w:t xml:space="preserve">W/(m·K)</w:t>
            </w:r>
          </w:p>
        </w:tc>
        <w:tc>
          <w:tcPr>
            <w:tcW w:w="3420" w:type="dxa"/>
          </w:tcPr>
          <w:p>
            <w:pPr>
              <w:pStyle w:val="TableText"/>
            </w:pPr>
            <w:r>
              <w:t xml:space="preserve">multiplied by c</w:t>
            </w:r>
            <w:r>
              <w:rPr>
                <w:vertAlign w:val="subscript"/>
              </w:rPr>
              <w:t xml:space="preserve">k</w:t>
            </w:r>
            <w:r>
              <w:t xml:space="preserve"> (calibrated; 2.418 × 30 = 72.5 W/(m·K) in the selected state)</w:t>
            </w:r>
          </w:p>
        </w:tc>
      </w:tr>
    </w:tbl>
    <w:p>
      <w:pPr>
        <w:pStyle w:val="TableNote"/>
      </w:pPr>
      <w:r>
        <w:rPr>
          <w:i/>
        </w:rPr>
        <w:t xml:space="preserve">Note. </w:t>
      </w:r>
      <w:r>
        <w:t xml:space="preserve">Phase-dependent first-pass engineering values; they were fixed and not calibrated. The directional term (η) multiplies the liquid conductivity along the scan by (1 + η); η = 0 in the selected state.</w:t>
      </w:r>
    </w:p>
    <w:p>
      <w:pPr>
        <w:pStyle w:val="Placement"/>
      </w:pPr>
      <w:r>
        <w:t xml:space="preserve">F4 · §3.3.1, after the paragraph on the moving local window (or the PLACEHOLDER at the end of §3.3.7)</w:t>
      </w:r>
    </w:p>
    <w:p>
      <w:pPr>
        <w:pStyle w:val="Figure"/>
      </w:pPr>
      <w:r>
        <w:drawing>
          <wp:inline distT="0" distB="0" distL="0" distR="0">
            <wp:extent cx="5715000" cy="2101797"/>
            <wp:docPr id="4" name="Figure 4"/>
            <wp:cNvGraphicFramePr>
              <a:graphicFrameLocks noChangeAspect="1"/>
            </wp:cNvGraphicFramePr>
            <a:graphic>
              <a:graphicData uri="http://schemas.openxmlformats.org/drawingml/2006/picture">
                <pic:pic>
                  <pic:nvPicPr>
                    <pic:cNvPr id="4" name="F4_model_schematic.png"/>
                    <pic:cNvPicPr/>
                  </pic:nvPicPr>
                  <pic:blipFill>
                    <a:blip r:embed="rIdImg4"/>
                    <a:stretch>
                      <a:fillRect/>
                    </a:stretch>
                  </pic:blipFill>
                  <pic:spPr>
                    <a:xfrm>
                      <a:off x="0" y="0"/>
                      <a:ext cx="5715000" cy="2101797"/>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4</w:t>
      </w:r>
      <w:r>
        <w:fldChar w:fldCharType="end"/>
      </w:r>
      <w:r>
        <w:t xml:space="preserve">. Reduced-order thermal model.</w:t>
      </w:r>
      <w:r>
        <w:rPr>
          <w:b w:val="0"/>
          <w:bCs w:val="0"/>
        </w:rPr>
        <w:t xml:space="preserve"> (a) Schematic of the moving computational window (99 × 99 × 21 cubic cells of 16 µm; depth drawn twice its scale) with the Gaussian volumetric source, boundary treatments and the liquidus footprint. (b) Simulated top-surface temperature of the selected state at frame 3298 of 20260730:part_3 (70.2 J/mm³) with the liquidus contour of the laser-associated component (white) and its minimum-area rectangle (H = 163 µm, W = 53 µm); + marks the beam centre.</w:t>
      </w:r>
    </w:p>
    <w:p>
      <w:pPr>
        <w:pStyle w:val="Placement"/>
      </w:pPr>
      <w:r>
        <w:t xml:space="preserve">T5 · §3.3.10, PLACEHOLDER (replaces the note describing the intended table)</w:t>
      </w:r>
    </w:p>
    <w:p>
      <w:pPr>
        <w:pStyle w:val="TableTitle"/>
      </w:pPr>
      <w:r>
        <w:t xml:space="preserve">Table </w:t>
      </w:r>
      <w:r>
        <w:fldChar w:fldCharType="begin"/>
      </w:r>
      <w:r>
        <w:instrText xml:space="preserve"> SEQ Table \* ARABIC </w:instrText>
      </w:r>
      <w:r>
        <w:fldChar w:fldCharType="separate"/>
      </w:r>
      <w:r>
        <w:t>5</w:t>
      </w:r>
      <w:r>
        <w:fldChar w:fldCharType="end"/>
      </w:r>
      <w:r>
        <w:t xml:space="preserve">. Final numerical-model configuration</w:t>
      </w:r>
    </w:p>
    <w:tbl>
      <w:tblPr>
        <w:tblW w:w="9000" w:type="dxa"/>
        <w:tblLayout w:type="fixed"/>
        <w:tblBorders>
          <w:top w:val="single" w:sz="8" w:space="0" w:color="000000"/>
          <w:bottom w:val="single" w:sz="8" w:space="0" w:color="000000"/>
        </w:tblBorders>
        <w:tblCellMar>
          <w:left w:w="70" w:type="dxa"/>
          <w:right w:w="70" w:type="dxa"/>
        </w:tblCellMar>
        <w:tblLook w:val="0000" w:firstRow="0" w:lastRow="0" w:firstColumn="0" w:lastColumn="0" w:noHBand="1" w:noVBand="1"/>
      </w:tblPr>
      <w:tblGrid>
        <w:gridCol w:w="2430"/>
        <w:gridCol w:w="1170"/>
        <w:gridCol w:w="1170"/>
        <w:gridCol w:w="1080"/>
        <w:gridCol w:w="3150"/>
      </w:tblGrid>
      <w:tr>
        <w:trPr>
          <w:tblHeader/>
          <w:cantSplit/>
        </w:trPr>
        <w:tc>
          <w:tcPr>
            <w:tcW w:w="2430" w:type="dxa"/>
            <w:tcBorders>
              <w:bottom w:val="single" w:sz="6" w:space="0" w:color="000000"/>
            </w:tcBorders>
            <w:vAlign w:val="bottom"/>
          </w:tcPr>
          <w:p>
            <w:pPr>
              <w:pStyle w:val="TableText"/>
            </w:pPr>
            <w:r>
              <w:rPr>
                <w:b/>
              </w:rPr>
              <w:t xml:space="preserve">Quantity</w:t>
            </w:r>
          </w:p>
        </w:tc>
        <w:tc>
          <w:tcPr>
            <w:tcW w:w="1170" w:type="dxa"/>
            <w:tcBorders>
              <w:bottom w:val="single" w:sz="6" w:space="0" w:color="000000"/>
            </w:tcBorders>
            <w:vAlign w:val="bottom"/>
          </w:tcPr>
          <w:p>
            <w:pPr>
              <w:pStyle w:val="TableText"/>
            </w:pPr>
            <w:r>
              <w:rPr>
                <w:b/>
              </w:rPr>
              <w:t xml:space="preserve">Symbol</w:t>
            </w:r>
          </w:p>
        </w:tc>
        <w:tc>
          <w:tcPr>
            <w:tcW w:w="1170" w:type="dxa"/>
            <w:tcBorders>
              <w:bottom w:val="single" w:sz="6" w:space="0" w:color="000000"/>
            </w:tcBorders>
            <w:vAlign w:val="bottom"/>
          </w:tcPr>
          <w:p>
            <w:pPr>
              <w:pStyle w:val="TableText"/>
            </w:pPr>
            <w:r>
              <w:rPr>
                <w:b/>
              </w:rPr>
              <w:t xml:space="preserve">Role</w:t>
            </w:r>
          </w:p>
        </w:tc>
        <w:tc>
          <w:tcPr>
            <w:tcW w:w="1080" w:type="dxa"/>
            <w:tcBorders>
              <w:bottom w:val="single" w:sz="6" w:space="0" w:color="000000"/>
            </w:tcBorders>
            <w:vAlign w:val="bottom"/>
          </w:tcPr>
          <w:p>
            <w:pPr>
              <w:pStyle w:val="TableText"/>
            </w:pPr>
            <w:r>
              <w:rPr>
                <w:b/>
              </w:rPr>
              <w:t xml:space="preserve">Units</w:t>
            </w:r>
          </w:p>
        </w:tc>
        <w:tc>
          <w:tcPr>
            <w:tcW w:w="3150" w:type="dxa"/>
            <w:tcBorders>
              <w:bottom w:val="single" w:sz="6" w:space="0" w:color="000000"/>
            </w:tcBorders>
            <w:vAlign w:val="bottom"/>
          </w:tcPr>
          <w:p>
            <w:pPr>
              <w:pStyle w:val="TableText"/>
            </w:pPr>
            <w:r>
              <w:rPr>
                <w:b/>
              </w:rPr>
              <w:t xml:space="preserve">Value or treatment</w:t>
            </w:r>
          </w:p>
        </w:tc>
      </w:tr>
      <w:tr>
        <w:trPr>
          <w:cantSplit/>
        </w:trPr>
        <w:tc>
          <w:tcPr>
            <w:tcW w:w="9000" w:type="dxa"/>
            <w:gridSpan w:val="5"/>
          </w:tcPr>
          <w:p>
            <w:pPr>
              <w:pStyle w:val="TableText"/>
            </w:pPr>
            <w:r>
              <w:rPr>
                <w:b/>
              </w:rPr>
              <w:t xml:space="preserve">Process inputs</w:t>
            </w:r>
          </w:p>
        </w:tc>
      </w:tr>
      <w:tr>
        <w:trPr>
          <w:cantSplit/>
        </w:trPr>
        <w:tc>
          <w:tcPr>
            <w:tcW w:w="2430" w:type="dxa"/>
          </w:tcPr>
          <w:p>
            <w:pPr>
              <w:pStyle w:val="TableText"/>
            </w:pPr>
            <w:r>
              <w:t xml:space="preserve">Laser trajectory</w:t>
            </w:r>
          </w:p>
        </w:tc>
        <w:tc>
          <w:tcPr>
            <w:tcW w:w="1170" w:type="dxa"/>
          </w:tcPr>
          <w:p>
            <w:pPr>
              <w:pStyle w:val="TableText"/>
            </w:pPr>
            <w:r>
              <w:t xml:space="preserve">x, y</w:t>
            </w:r>
          </w:p>
        </w:tc>
        <w:tc>
          <w:tcPr>
            <w:tcW w:w="1170" w:type="dxa"/>
          </w:tcPr>
          <w:p>
            <w:pPr>
              <w:pStyle w:val="TableText"/>
            </w:pPr>
            <w:r>
              <w:t xml:space="preserve">prescribed</w:t>
            </w:r>
          </w:p>
        </w:tc>
        <w:tc>
          <w:tcPr>
            <w:tcW w:w="1080" w:type="dxa"/>
          </w:tcPr>
          <w:p>
            <w:pPr>
              <w:pStyle w:val="TableText"/>
            </w:pPr>
            <w:r>
              <w:t xml:space="preserve">mm</w:t>
            </w:r>
          </w:p>
        </w:tc>
        <w:tc>
          <w:tcPr>
            <w:tcW w:w="3150" w:type="dxa"/>
          </w:tcPr>
          <w:p>
            <w:pPr>
              <w:pStyle w:val="TableText"/>
            </w:pPr>
            <w:r>
              <w:t xml:space="preserve">X-Machine, Y-Machine at 200 kHz</w:t>
            </w:r>
          </w:p>
        </w:tc>
      </w:tr>
      <w:tr>
        <w:trPr>
          <w:cantSplit/>
        </w:trPr>
        <w:tc>
          <w:tcPr>
            <w:tcW w:w="2430" w:type="dxa"/>
          </w:tcPr>
          <w:p>
            <w:pPr>
              <w:pStyle w:val="TableText"/>
            </w:pPr>
            <w:r>
              <w:t xml:space="preserve">Laser state</w:t>
            </w:r>
          </w:p>
        </w:tc>
        <w:tc>
          <w:tcPr>
            <w:tcW w:w="1170" w:type="dxa"/>
          </w:tcPr>
          <w:p>
            <w:pPr>
              <w:pStyle w:val="TableText"/>
            </w:pPr>
            <w:r>
              <w:t xml:space="preserve">–</w:t>
            </w:r>
          </w:p>
        </w:tc>
        <w:tc>
          <w:tcPr>
            <w:tcW w:w="1170" w:type="dxa"/>
          </w:tcPr>
          <w:p>
            <w:pPr>
              <w:pStyle w:val="TableText"/>
            </w:pPr>
            <w:r>
              <w:t xml:space="preserve">prescribed</w:t>
            </w:r>
          </w:p>
        </w:tc>
        <w:tc>
          <w:tcPr>
            <w:tcW w:w="1080" w:type="dxa"/>
          </w:tcPr>
          <w:p>
            <w:pPr>
              <w:pStyle w:val="TableText"/>
            </w:pPr>
            <w:r>
              <w:t xml:space="preserve">–</w:t>
            </w:r>
          </w:p>
        </w:tc>
        <w:tc>
          <w:tcPr>
            <w:tcW w:w="3150" w:type="dxa"/>
          </w:tcPr>
          <w:p>
            <w:pPr>
              <w:pStyle w:val="TableText"/>
            </w:pPr>
            <w:r>
              <w:t xml:space="preserve">on if Laser Drive &gt; 2.5 V</w:t>
            </w:r>
          </w:p>
        </w:tc>
      </w:tr>
      <w:tr>
        <w:trPr>
          <w:cantSplit/>
        </w:trPr>
        <w:tc>
          <w:tcPr>
            <w:tcW w:w="2430" w:type="dxa"/>
          </w:tcPr>
          <w:p>
            <w:pPr>
              <w:pStyle w:val="TableText"/>
            </w:pPr>
            <w:r>
              <w:t xml:space="preserve">Laser power</w:t>
            </w:r>
          </w:p>
        </w:tc>
        <w:tc>
          <w:tcPr>
            <w:tcW w:w="1170" w:type="dxa"/>
          </w:tcPr>
          <w:p>
            <w:pPr>
              <w:pStyle w:val="TableText"/>
            </w:pPr>
            <w:r>
              <w:t xml:space="preserve">P</w:t>
            </w:r>
          </w:p>
        </w:tc>
        <w:tc>
          <w:tcPr>
            <w:tcW w:w="1170" w:type="dxa"/>
          </w:tcPr>
          <w:p>
            <w:pPr>
              <w:pStyle w:val="TableText"/>
            </w:pPr>
            <w:r>
              <w:t xml:space="preserve">prescribed</w:t>
            </w:r>
          </w:p>
        </w:tc>
        <w:tc>
          <w:tcPr>
            <w:tcW w:w="1080" w:type="dxa"/>
          </w:tcPr>
          <w:p>
            <w:pPr>
              <w:pStyle w:val="TableText"/>
            </w:pPr>
            <w:r>
              <w:t xml:space="preserve">W</w:t>
            </w:r>
          </w:p>
        </w:tc>
        <w:tc>
          <w:tcPr>
            <w:tcW w:w="3150" w:type="dxa"/>
          </w:tcPr>
          <w:p>
            <w:pPr>
              <w:pStyle w:val="TableText"/>
            </w:pPr>
            <w:r>
              <w:t xml:space="preserve">nominal value per coupon (process record)</w:t>
            </w:r>
          </w:p>
        </w:tc>
      </w:tr>
      <w:tr>
        <w:trPr>
          <w:cantSplit/>
        </w:trPr>
        <w:tc>
          <w:tcPr>
            <w:tcW w:w="2430" w:type="dxa"/>
          </w:tcPr>
          <w:p>
            <w:pPr>
              <w:pStyle w:val="TableText"/>
            </w:pPr>
            <w:r>
              <w:t xml:space="preserve">Process interval</w:t>
            </w:r>
          </w:p>
        </w:tc>
        <w:tc>
          <w:tcPr>
            <w:tcW w:w="1170" w:type="dxa"/>
          </w:tcPr>
          <w:p>
            <w:pPr>
              <w:pStyle w:val="TableText"/>
            </w:pPr>
            <w:r>
              <w:t xml:space="preserve">Δt</w:t>
            </w:r>
            <w:r>
              <w:rPr>
                <w:vertAlign w:val="subscript"/>
              </w:rPr>
              <w:t xml:space="preserve">process</w:t>
            </w:r>
          </w:p>
        </w:tc>
        <w:tc>
          <w:tcPr>
            <w:tcW w:w="1170" w:type="dxa"/>
          </w:tcPr>
          <w:p>
            <w:pPr>
              <w:pStyle w:val="TableText"/>
            </w:pPr>
            <w:r>
              <w:t xml:space="preserve">prescribed</w:t>
            </w:r>
          </w:p>
        </w:tc>
        <w:tc>
          <w:tcPr>
            <w:tcW w:w="1080" w:type="dxa"/>
          </w:tcPr>
          <w:p>
            <w:pPr>
              <w:pStyle w:val="TableText"/>
            </w:pPr>
            <w:r>
              <w:t xml:space="preserve">µs</w:t>
            </w:r>
          </w:p>
        </w:tc>
        <w:tc>
          <w:tcPr>
            <w:tcW w:w="3150" w:type="dxa"/>
          </w:tcPr>
          <w:p>
            <w:pPr>
              <w:pStyle w:val="TableText"/>
            </w:pPr>
            <w:r>
              <w:t xml:space="preserve">5</w:t>
            </w:r>
          </w:p>
        </w:tc>
      </w:tr>
      <w:tr>
        <w:trPr>
          <w:cantSplit/>
        </w:trPr>
        <w:tc>
          <w:tcPr>
            <w:tcW w:w="9000" w:type="dxa"/>
            <w:gridSpan w:val="5"/>
            <w:tcBorders>
              <w:top w:val="single" w:sz="4" w:space="0" w:color="000000"/>
            </w:tcBorders>
          </w:tcPr>
          <w:p>
            <w:pPr>
              <w:pStyle w:val="TableText"/>
            </w:pPr>
            <w:r>
              <w:rPr>
                <w:b/>
              </w:rPr>
              <w:t xml:space="preserve">Discretization</w:t>
            </w:r>
          </w:p>
        </w:tc>
      </w:tr>
      <w:tr>
        <w:trPr>
          <w:cantSplit/>
        </w:trPr>
        <w:tc>
          <w:tcPr>
            <w:tcW w:w="2430" w:type="dxa"/>
          </w:tcPr>
          <w:p>
            <w:pPr>
              <w:pStyle w:val="TableText"/>
            </w:pPr>
            <w:r>
              <w:t xml:space="preserve">Cell size</w:t>
            </w:r>
          </w:p>
        </w:tc>
        <w:tc>
          <w:tcPr>
            <w:tcW w:w="1170" w:type="dxa"/>
          </w:tcPr>
          <w:p>
            <w:pPr>
              <w:pStyle w:val="TableText"/>
            </w:pPr>
            <w:r>
              <w:t xml:space="preserve">Δx</w:t>
            </w:r>
          </w:p>
        </w:tc>
        <w:tc>
          <w:tcPr>
            <w:tcW w:w="1170" w:type="dxa"/>
          </w:tcPr>
          <w:p>
            <w:pPr>
              <w:pStyle w:val="TableText"/>
            </w:pPr>
            <w:r>
              <w:t xml:space="preserve">fixed</w:t>
            </w:r>
          </w:p>
        </w:tc>
        <w:tc>
          <w:tcPr>
            <w:tcW w:w="1080" w:type="dxa"/>
          </w:tcPr>
          <w:p>
            <w:pPr>
              <w:pStyle w:val="TableText"/>
            </w:pPr>
            <w:r>
              <w:t xml:space="preserve">µm</w:t>
            </w:r>
          </w:p>
        </w:tc>
        <w:tc>
          <w:tcPr>
            <w:tcW w:w="3150" w:type="dxa"/>
          </w:tcPr>
          <w:p>
            <w:pPr>
              <w:pStyle w:val="TableText"/>
            </w:pPr>
            <w:r>
              <w:t xml:space="preserve">16 (cubic cells)</w:t>
            </w:r>
          </w:p>
        </w:tc>
      </w:tr>
      <w:tr>
        <w:trPr>
          <w:cantSplit/>
        </w:trPr>
        <w:tc>
          <w:tcPr>
            <w:tcW w:w="2430" w:type="dxa"/>
          </w:tcPr>
          <w:p>
            <w:pPr>
              <w:pStyle w:val="TableText"/>
            </w:pPr>
            <w:r>
              <w:t xml:space="preserve">Moving window</w:t>
            </w:r>
          </w:p>
        </w:tc>
        <w:tc>
          <w:tcPr>
            <w:tcW w:w="1170" w:type="dxa"/>
          </w:tcPr>
          <w:p>
            <w:pPr>
              <w:pStyle w:val="TableText"/>
            </w:pPr>
            <w:r>
              <w:t xml:space="preserve">N</w:t>
            </w:r>
            <w:r>
              <w:rPr>
                <w:vertAlign w:val="subscript"/>
              </w:rPr>
              <w:t xml:space="preserve">x</w:t>
            </w:r>
            <w:r>
              <w:t xml:space="preserve"> × N</w:t>
            </w:r>
            <w:r>
              <w:rPr>
                <w:vertAlign w:val="subscript"/>
              </w:rPr>
              <w:t xml:space="preserve">y</w:t>
            </w:r>
            <w:r>
              <w:t xml:space="preserve"> × N</w:t>
            </w:r>
            <w:r>
              <w:rPr>
                <w:vertAlign w:val="subscript"/>
              </w:rPr>
              <w:t xml:space="preserve">z</w:t>
            </w:r>
          </w:p>
        </w:tc>
        <w:tc>
          <w:tcPr>
            <w:tcW w:w="1170" w:type="dxa"/>
          </w:tcPr>
          <w:p>
            <w:pPr>
              <w:pStyle w:val="TableText"/>
            </w:pPr>
            <w:r>
              <w:t xml:space="preserve">fixed</w:t>
            </w:r>
          </w:p>
        </w:tc>
        <w:tc>
          <w:tcPr>
            <w:tcW w:w="1080" w:type="dxa"/>
          </w:tcPr>
          <w:p>
            <w:pPr>
              <w:pStyle w:val="TableText"/>
            </w:pPr>
            <w:r>
              <w:t xml:space="preserve">cells</w:t>
            </w:r>
          </w:p>
        </w:tc>
        <w:tc>
          <w:tcPr>
            <w:tcW w:w="3150" w:type="dxa"/>
          </w:tcPr>
          <w:p>
            <w:pPr>
              <w:pStyle w:val="TableText"/>
            </w:pPr>
            <w:r>
              <w:t xml:space="preserve">99 × 99 × 21 (1.584 × 1.584 × 0.336 mm)</w:t>
            </w:r>
          </w:p>
        </w:tc>
      </w:tr>
      <w:tr>
        <w:trPr>
          <w:cantSplit/>
        </w:trPr>
        <w:tc>
          <w:tcPr>
            <w:tcW w:w="2430" w:type="dxa"/>
          </w:tcPr>
          <w:p>
            <w:pPr>
              <w:pStyle w:val="TableText"/>
            </w:pPr>
            <w:r>
              <w:t xml:space="preserve">Thermal time step</w:t>
            </w:r>
          </w:p>
        </w:tc>
        <w:tc>
          <w:tcPr>
            <w:tcW w:w="1170" w:type="dxa"/>
          </w:tcPr>
          <w:p>
            <w:pPr>
              <w:pStyle w:val="TableText"/>
            </w:pPr>
            <w:r>
              <w:t xml:space="preserve">Δt</w:t>
            </w:r>
          </w:p>
        </w:tc>
        <w:tc>
          <w:tcPr>
            <w:tcW w:w="1170" w:type="dxa"/>
          </w:tcPr>
          <w:p>
            <w:pPr>
              <w:pStyle w:val="TableText"/>
            </w:pPr>
            <w:r>
              <w:t xml:space="preserve">fixed</w:t>
            </w:r>
          </w:p>
        </w:tc>
        <w:tc>
          <w:tcPr>
            <w:tcW w:w="1080" w:type="dxa"/>
          </w:tcPr>
          <w:p>
            <w:pPr>
              <w:pStyle w:val="TableText"/>
            </w:pPr>
            <w:r>
              <w:t xml:space="preserve">µs</w:t>
            </w:r>
          </w:p>
        </w:tc>
        <w:tc>
          <w:tcPr>
            <w:tcW w:w="3150" w:type="dxa"/>
          </w:tcPr>
          <w:p>
            <w:pPr>
              <w:pStyle w:val="TableText"/>
            </w:pPr>
            <w:r>
              <w:t xml:space="preserve">2.5 (2 substeps per process row)</w:t>
            </w:r>
          </w:p>
        </w:tc>
      </w:tr>
      <w:tr>
        <w:trPr>
          <w:cantSplit/>
        </w:trPr>
        <w:tc>
          <w:tcPr>
            <w:tcW w:w="2430" w:type="dxa"/>
          </w:tcPr>
          <w:p>
            <w:pPr>
              <w:pStyle w:val="TableText"/>
            </w:pPr>
            <w:r>
              <w:t xml:space="preserve">Explicit stability safety factor</w:t>
            </w:r>
          </w:p>
        </w:tc>
        <w:tc>
          <w:tcPr>
            <w:tcW w:w="1170" w:type="dxa"/>
          </w:tcPr>
          <w:p>
            <w:pPr>
              <w:pStyle w:val="TableText"/>
            </w:pPr>
            <w:r>
              <w:t xml:space="preserve">s</w:t>
            </w:r>
          </w:p>
        </w:tc>
        <w:tc>
          <w:tcPr>
            <w:tcW w:w="1170" w:type="dxa"/>
          </w:tcPr>
          <w:p>
            <w:pPr>
              <w:pStyle w:val="TableText"/>
            </w:pPr>
            <w:r>
              <w:t xml:space="preserve">fixed</w:t>
            </w:r>
          </w:p>
        </w:tc>
        <w:tc>
          <w:tcPr>
            <w:tcW w:w="1080" w:type="dxa"/>
          </w:tcPr>
          <w:p>
            <w:pPr>
              <w:pStyle w:val="TableText"/>
            </w:pPr>
            <w:r>
              <w:t xml:space="preserve">–</w:t>
            </w:r>
          </w:p>
        </w:tc>
        <w:tc>
          <w:tcPr>
            <w:tcW w:w="3150" w:type="dxa"/>
          </w:tcPr>
          <w:p>
            <w:pPr>
              <w:pStyle w:val="TableText"/>
            </w:pPr>
            <w:r>
              <w:t xml:space="preserve">0.90</w:t>
            </w:r>
          </w:p>
        </w:tc>
      </w:tr>
      <w:tr>
        <w:trPr>
          <w:cantSplit/>
        </w:trPr>
        <w:tc>
          <w:tcPr>
            <w:tcW w:w="2430" w:type="dxa"/>
          </w:tcPr>
          <w:p>
            <w:pPr>
              <w:pStyle w:val="TableText"/>
            </w:pPr>
            <w:r>
              <w:t xml:space="preserve">Transport stability guard</w:t>
            </w:r>
          </w:p>
        </w:tc>
        <w:tc>
          <w:tcPr>
            <w:tcW w:w="1170" w:type="dxa"/>
          </w:tcPr>
          <w:p>
            <w:pPr>
              <w:pStyle w:val="TableText"/>
            </w:pPr>
            <w:r>
              <w:t xml:space="preserve">Δt / Δt</w:t>
            </w:r>
            <w:r>
              <w:rPr>
                <w:vertAlign w:val="subscript"/>
              </w:rPr>
              <w:t xml:space="preserve">safe</w:t>
            </w:r>
          </w:p>
        </w:tc>
        <w:tc>
          <w:tcPr>
            <w:tcW w:w="1170" w:type="dxa"/>
          </w:tcPr>
          <w:p>
            <w:pPr>
              <w:pStyle w:val="TableText"/>
            </w:pPr>
            <w:r>
              <w:t xml:space="preserve">fixed</w:t>
            </w:r>
          </w:p>
        </w:tc>
        <w:tc>
          <w:tcPr>
            <w:tcW w:w="1080" w:type="dxa"/>
          </w:tcPr>
          <w:p>
            <w:pPr>
              <w:pStyle w:val="TableText"/>
            </w:pPr>
            <w:r>
              <w:t xml:space="preserve">–</w:t>
            </w:r>
          </w:p>
        </w:tc>
        <w:tc>
          <w:tcPr>
            <w:tcW w:w="3150" w:type="dxa"/>
          </w:tcPr>
          <w:p>
            <w:pPr>
              <w:pStyle w:val="TableText"/>
            </w:pPr>
            <w:r>
              <w:t xml:space="preserve">≤ 0.95 for every candidate</w:t>
            </w:r>
          </w:p>
        </w:tc>
      </w:tr>
      <w:tr>
        <w:trPr>
          <w:cantSplit/>
        </w:trPr>
        <w:tc>
          <w:tcPr>
            <w:tcW w:w="2430" w:type="dxa"/>
          </w:tcPr>
          <w:p>
            <w:pPr>
              <w:pStyle w:val="TableText"/>
            </w:pPr>
            <w:r>
              <w:t xml:space="preserve">Boundary-loss stability</w:t>
            </w:r>
          </w:p>
        </w:tc>
        <w:tc>
          <w:tcPr>
            <w:tcW w:w="1170" w:type="dxa"/>
          </w:tcPr>
          <w:p>
            <w:pPr>
              <w:pStyle w:val="TableText"/>
            </w:pPr>
            <w:r>
              <w:t xml:space="preserve">F</w:t>
            </w:r>
            <w:r>
              <w:rPr>
                <w:vertAlign w:val="subscript"/>
              </w:rPr>
              <w:t xml:space="preserve">boundary</w:t>
            </w:r>
          </w:p>
        </w:tc>
        <w:tc>
          <w:tcPr>
            <w:tcW w:w="1170" w:type="dxa"/>
          </w:tcPr>
          <w:p>
            <w:pPr>
              <w:pStyle w:val="TableText"/>
            </w:pPr>
            <w:r>
              <w:t xml:space="preserve">fixed</w:t>
            </w:r>
          </w:p>
        </w:tc>
        <w:tc>
          <w:tcPr>
            <w:tcW w:w="1080" w:type="dxa"/>
          </w:tcPr>
          <w:p>
            <w:pPr>
              <w:pStyle w:val="TableText"/>
            </w:pPr>
            <w:r>
              <w:t xml:space="preserve">–</w:t>
            </w:r>
          </w:p>
        </w:tc>
        <w:tc>
          <w:tcPr>
            <w:tcW w:w="3150" w:type="dxa"/>
          </w:tcPr>
          <w:p>
            <w:pPr>
              <w:pStyle w:val="TableText"/>
            </w:pPr>
            <w:r>
              <w:t xml:space="preserve">&lt; 0.90 (audited to 7000 K)</w:t>
            </w:r>
          </w:p>
        </w:tc>
      </w:tr>
      <w:tr>
        <w:trPr>
          <w:cantSplit/>
        </w:trPr>
        <w:tc>
          <w:tcPr>
            <w:tcW w:w="2430" w:type="dxa"/>
          </w:tcPr>
          <w:p>
            <w:pPr>
              <w:pStyle w:val="TableText"/>
            </w:pPr>
            <w:r>
              <w:t xml:space="preserve">Window motion</w:t>
            </w:r>
          </w:p>
        </w:tc>
        <w:tc>
          <w:tcPr>
            <w:tcW w:w="1170" w:type="dxa"/>
          </w:tcPr>
          <w:p>
            <w:pPr>
              <w:pStyle w:val="TableText"/>
            </w:pPr>
            <w:r>
              <w:t xml:space="preserve">–</w:t>
            </w:r>
          </w:p>
        </w:tc>
        <w:tc>
          <w:tcPr>
            <w:tcW w:w="1170" w:type="dxa"/>
          </w:tcPr>
          <w:p>
            <w:pPr>
              <w:pStyle w:val="TableText"/>
            </w:pPr>
            <w:r>
              <w:t xml:space="preserve">fixed</w:t>
            </w:r>
          </w:p>
        </w:tc>
        <w:tc>
          <w:tcPr>
            <w:tcW w:w="1080" w:type="dxa"/>
          </w:tcPr>
          <w:p>
            <w:pPr>
              <w:pStyle w:val="TableText"/>
            </w:pPr>
            <w:r>
              <w:t xml:space="preserve">–</w:t>
            </w:r>
          </w:p>
        </w:tc>
        <w:tc>
          <w:tcPr>
            <w:tcW w:w="3150" w:type="dxa"/>
          </w:tcPr>
          <w:p>
            <w:pPr>
              <w:pStyle w:val="TableText"/>
            </w:pPr>
            <w:r>
              <w:t xml:space="preserve">whole-cell field shifts; sub-cell offset kept in the source position</w:t>
            </w:r>
          </w:p>
        </w:tc>
      </w:tr>
      <w:tr>
        <w:trPr>
          <w:cantSplit/>
        </w:trPr>
        <w:tc>
          <w:tcPr>
            <w:tcW w:w="2430" w:type="dxa"/>
          </w:tcPr>
          <w:p>
            <w:pPr>
              <w:pStyle w:val="TableText"/>
            </w:pPr>
            <w:r>
              <w:t xml:space="preserve">Window reset distance</w:t>
            </w:r>
          </w:p>
        </w:tc>
        <w:tc>
          <w:tcPr>
            <w:tcW w:w="1170" w:type="dxa"/>
          </w:tcPr>
          <w:p>
            <w:pPr>
              <w:pStyle w:val="TableText"/>
            </w:pPr>
            <w:r>
              <w:t xml:space="preserve">d</w:t>
            </w:r>
            <w:r>
              <w:rPr>
                <w:vertAlign w:val="subscript"/>
              </w:rPr>
              <w:t xml:space="preserve">reset</w:t>
            </w:r>
          </w:p>
        </w:tc>
        <w:tc>
          <w:tcPr>
            <w:tcW w:w="1170" w:type="dxa"/>
          </w:tcPr>
          <w:p>
            <w:pPr>
              <w:pStyle w:val="TableText"/>
            </w:pPr>
            <w:r>
              <w:t xml:space="preserve">fixed</w:t>
            </w:r>
          </w:p>
        </w:tc>
        <w:tc>
          <w:tcPr>
            <w:tcW w:w="1080" w:type="dxa"/>
          </w:tcPr>
          <w:p>
            <w:pPr>
              <w:pStyle w:val="TableText"/>
            </w:pPr>
            <w:r>
              <w:t xml:space="preserve">mm</w:t>
            </w:r>
          </w:p>
        </w:tc>
        <w:tc>
          <w:tcPr>
            <w:tcW w:w="3150" w:type="dxa"/>
          </w:tcPr>
          <w:p>
            <w:pPr>
              <w:pStyle w:val="TableText"/>
            </w:pPr>
            <w:r>
              <w:t xml:space="preserve">0.168 (field reset to 298.15 K)</w:t>
            </w:r>
          </w:p>
        </w:tc>
      </w:tr>
      <w:tr>
        <w:trPr>
          <w:cantSplit/>
        </w:trPr>
        <w:tc>
          <w:tcPr>
            <w:tcW w:w="2430" w:type="dxa"/>
          </w:tcPr>
          <w:p>
            <w:pPr>
              <w:pStyle w:val="TableText"/>
            </w:pPr>
            <w:r>
              <w:t xml:space="preserve">Initial and bulk temperature</w:t>
            </w:r>
          </w:p>
        </w:tc>
        <w:tc>
          <w:tcPr>
            <w:tcW w:w="1170" w:type="dxa"/>
          </w:tcPr>
          <w:p>
            <w:pPr>
              <w:pStyle w:val="TableText"/>
            </w:pPr>
            <w:r>
              <w:t xml:space="preserve">T</w:t>
            </w:r>
            <w:r>
              <w:rPr>
                <w:vertAlign w:val="subscript"/>
              </w:rPr>
              <w:t xml:space="preserve">bulk</w:t>
            </w:r>
          </w:p>
        </w:tc>
        <w:tc>
          <w:tcPr>
            <w:tcW w:w="1170" w:type="dxa"/>
          </w:tcPr>
          <w:p>
            <w:pPr>
              <w:pStyle w:val="TableText"/>
            </w:pPr>
            <w:r>
              <w:t xml:space="preserve">fixed</w:t>
            </w:r>
          </w:p>
        </w:tc>
        <w:tc>
          <w:tcPr>
            <w:tcW w:w="1080" w:type="dxa"/>
          </w:tcPr>
          <w:p>
            <w:pPr>
              <w:pStyle w:val="TableText"/>
            </w:pPr>
            <w:r>
              <w:t xml:space="preserve">K</w:t>
            </w:r>
          </w:p>
        </w:tc>
        <w:tc>
          <w:tcPr>
            <w:tcW w:w="3150" w:type="dxa"/>
          </w:tcPr>
          <w:p>
            <w:pPr>
              <w:pStyle w:val="TableText"/>
            </w:pPr>
            <w:r>
              <w:t xml:space="preserve">298.15</w:t>
            </w:r>
          </w:p>
        </w:tc>
      </w:tr>
      <w:tr>
        <w:trPr>
          <w:cantSplit/>
        </w:trPr>
        <w:tc>
          <w:tcPr>
            <w:tcW w:w="9000" w:type="dxa"/>
            <w:gridSpan w:val="5"/>
            <w:tcBorders>
              <w:top w:val="single" w:sz="4" w:space="0" w:color="000000"/>
            </w:tcBorders>
          </w:tcPr>
          <w:p>
            <w:pPr>
              <w:pStyle w:val="TableText"/>
            </w:pPr>
            <w:r>
              <w:rPr>
                <w:b/>
              </w:rPr>
              <w:t xml:space="preserve">Heat source</w:t>
            </w:r>
          </w:p>
        </w:tc>
      </w:tr>
      <w:tr>
        <w:trPr>
          <w:cantSplit/>
        </w:trPr>
        <w:tc>
          <w:tcPr>
            <w:tcW w:w="2430" w:type="dxa"/>
          </w:tcPr>
          <w:p>
            <w:pPr>
              <w:pStyle w:val="TableText"/>
            </w:pPr>
            <w:r>
              <w:t xml:space="preserve">Lateral profile</w:t>
            </w:r>
          </w:p>
        </w:tc>
        <w:tc>
          <w:tcPr>
            <w:tcW w:w="1170" w:type="dxa"/>
          </w:tcPr>
          <w:p>
            <w:pPr>
              <w:pStyle w:val="TableText"/>
            </w:pPr>
            <w:r>
              <w:t xml:space="preserve">R</w:t>
            </w:r>
          </w:p>
        </w:tc>
        <w:tc>
          <w:tcPr>
            <w:tcW w:w="1170" w:type="dxa"/>
          </w:tcPr>
          <w:p>
            <w:pPr>
              <w:pStyle w:val="TableText"/>
            </w:pPr>
            <w:r>
              <w:t xml:space="preserve">fixed</w:t>
            </w:r>
          </w:p>
        </w:tc>
        <w:tc>
          <w:tcPr>
            <w:tcW w:w="1080" w:type="dxa"/>
          </w:tcPr>
          <w:p>
            <w:pPr>
              <w:pStyle w:val="TableText"/>
            </w:pPr>
            <w:r>
              <w:t xml:space="preserve">mm</w:t>
            </w:r>
          </w:p>
        </w:tc>
        <w:tc>
          <w:tcPr>
            <w:tcW w:w="3150" w:type="dxa"/>
          </w:tcPr>
          <w:p>
            <w:pPr>
              <w:pStyle w:val="TableText"/>
            </w:pPr>
            <w:r>
              <w:t xml:space="preserve">Gaussian, 1/e² radius 0.04</w:t>
            </w:r>
          </w:p>
        </w:tc>
      </w:tr>
      <w:tr>
        <w:trPr>
          <w:cantSplit/>
        </w:trPr>
        <w:tc>
          <w:tcPr>
            <w:tcW w:w="2430" w:type="dxa"/>
          </w:tcPr>
          <w:p>
            <w:pPr>
              <w:pStyle w:val="TableText"/>
            </w:pPr>
            <w:r>
              <w:t xml:space="preserve">Depth profile</w:t>
            </w:r>
          </w:p>
        </w:tc>
        <w:tc>
          <w:tcPr>
            <w:tcW w:w="1170" w:type="dxa"/>
          </w:tcPr>
          <w:p>
            <w:pPr>
              <w:pStyle w:val="TableText"/>
            </w:pPr>
            <w:r>
              <w:t xml:space="preserve">b(s; δ)</w:t>
            </w:r>
          </w:p>
        </w:tc>
        <w:tc>
          <w:tcPr>
            <w:tcW w:w="1170" w:type="dxa"/>
          </w:tcPr>
          <w:p>
            <w:pPr>
              <w:pStyle w:val="TableText"/>
            </w:pPr>
            <w:r>
              <w:t xml:space="preserve">fixed</w:t>
            </w:r>
          </w:p>
        </w:tc>
        <w:tc>
          <w:tcPr>
            <w:tcW w:w="1080" w:type="dxa"/>
          </w:tcPr>
          <w:p>
            <w:pPr>
              <w:pStyle w:val="TableText"/>
            </w:pPr>
            <w:r>
              <w:t xml:space="preserve">–</w:t>
            </w:r>
          </w:p>
        </w:tc>
        <w:tc>
          <w:tcPr>
            <w:tcW w:w="3150" w:type="dxa"/>
          </w:tcPr>
          <w:p>
            <w:pPr>
              <w:pStyle w:val="TableText"/>
            </w:pPr>
            <w:r>
              <w:t xml:space="preserve">normalized truncated exponential</w:t>
            </w:r>
          </w:p>
        </w:tc>
      </w:tr>
      <w:tr>
        <w:trPr>
          <w:cantSplit/>
        </w:trPr>
        <w:tc>
          <w:tcPr>
            <w:tcW w:w="2430" w:type="dxa"/>
          </w:tcPr>
          <w:p>
            <w:pPr>
              <w:pStyle w:val="TableText"/>
            </w:pPr>
            <w:r>
              <w:t xml:space="preserve">Absorbed power</w:t>
            </w:r>
          </w:p>
        </w:tc>
        <w:tc>
          <w:tcPr>
            <w:tcW w:w="1170" w:type="dxa"/>
          </w:tcPr>
          <w:p>
            <w:pPr>
              <w:pStyle w:val="TableText"/>
            </w:pPr>
            <w:r>
              <w:t xml:space="preserve">P</w:t>
            </w:r>
            <w:r>
              <w:rPr>
                <w:vertAlign w:val="subscript"/>
              </w:rPr>
              <w:t xml:space="preserve">abs</w:t>
            </w:r>
          </w:p>
        </w:tc>
        <w:tc>
          <w:tcPr>
            <w:tcW w:w="1170" w:type="dxa"/>
          </w:tcPr>
          <w:p>
            <w:pPr>
              <w:pStyle w:val="TableText"/>
            </w:pPr>
            <w:r>
              <w:t xml:space="preserve">fixed</w:t>
            </w:r>
          </w:p>
        </w:tc>
        <w:tc>
          <w:tcPr>
            <w:tcW w:w="1080" w:type="dxa"/>
          </w:tcPr>
          <w:p>
            <w:pPr>
              <w:pStyle w:val="TableText"/>
            </w:pPr>
            <w:r>
              <w:t xml:space="preserve">W</w:t>
            </w:r>
          </w:p>
        </w:tc>
        <w:tc>
          <w:tcPr>
            <w:tcW w:w="3150" w:type="dxa"/>
          </w:tcPr>
          <w:p>
            <w:pPr>
              <w:pStyle w:val="TableText"/>
            </w:pPr>
            <w:r>
              <w:t xml:space="preserve">α P m</w:t>
            </w:r>
            <w:r>
              <w:rPr>
                <w:vertAlign w:val="subscript"/>
              </w:rPr>
              <w:t xml:space="preserve">TED</w:t>
            </w:r>
            <w:r>
              <w:t xml:space="preserve"> with m</w:t>
            </w:r>
            <w:r>
              <w:rPr>
                <w:vertAlign w:val="subscript"/>
              </w:rPr>
              <w:t xml:space="preserve">TED</w:t>
            </w:r>
            <w:r>
              <w:t xml:space="preserve"> = 1</w:t>
            </w:r>
          </w:p>
        </w:tc>
      </w:tr>
      <w:tr>
        <w:trPr>
          <w:cantSplit/>
        </w:trPr>
        <w:tc>
          <w:tcPr>
            <w:tcW w:w="9000" w:type="dxa"/>
            <w:gridSpan w:val="5"/>
            <w:tcBorders>
              <w:top w:val="single" w:sz="4" w:space="0" w:color="000000"/>
            </w:tcBorders>
          </w:tcPr>
          <w:p>
            <w:pPr>
              <w:pStyle w:val="TableText"/>
            </w:pPr>
            <w:r>
              <w:rPr>
                <w:b/>
              </w:rPr>
              <w:t xml:space="preserve">Boundaries</w:t>
            </w:r>
          </w:p>
        </w:tc>
      </w:tr>
      <w:tr>
        <w:trPr>
          <w:cantSplit/>
        </w:trPr>
        <w:tc>
          <w:tcPr>
            <w:tcW w:w="2430" w:type="dxa"/>
          </w:tcPr>
          <w:p>
            <w:pPr>
              <w:pStyle w:val="TableText"/>
            </w:pPr>
            <w:r>
              <w:t xml:space="preserve">Top surface</w:t>
            </w:r>
          </w:p>
        </w:tc>
        <w:tc>
          <w:tcPr>
            <w:tcW w:w="1170" w:type="dxa"/>
          </w:tcPr>
          <w:p>
            <w:pPr>
              <w:pStyle w:val="TableText"/>
            </w:pPr>
            <w:r>
              <w:t xml:space="preserve">h</w:t>
            </w:r>
            <w:r>
              <w:rPr>
                <w:vertAlign w:val="subscript"/>
              </w:rPr>
              <w:t xml:space="preserve">conv</w:t>
            </w:r>
            <w:r>
              <w:t xml:space="preserve">, T</w:t>
            </w:r>
            <w:r>
              <w:rPr>
                <w:vertAlign w:val="subscript"/>
              </w:rPr>
              <w:t xml:space="preserve">∞</w:t>
            </w:r>
          </w:p>
        </w:tc>
        <w:tc>
          <w:tcPr>
            <w:tcW w:w="1170" w:type="dxa"/>
          </w:tcPr>
          <w:p>
            <w:pPr>
              <w:pStyle w:val="TableText"/>
            </w:pPr>
            <w:r>
              <w:t xml:space="preserve">fixed</w:t>
            </w:r>
          </w:p>
        </w:tc>
        <w:tc>
          <w:tcPr>
            <w:tcW w:w="1080" w:type="dxa"/>
          </w:tcPr>
          <w:p>
            <w:pPr>
              <w:pStyle w:val="TableText"/>
            </w:pPr>
            <w:r>
              <w:t xml:space="preserve">W/(m²·K), K</w:t>
            </w:r>
          </w:p>
        </w:tc>
        <w:tc>
          <w:tcPr>
            <w:tcW w:w="3150" w:type="dxa"/>
          </w:tcPr>
          <w:p>
            <w:pPr>
              <w:pStyle w:val="TableText"/>
            </w:pPr>
            <w:r>
              <w:t xml:space="preserve">convection, 10, 298.15; radiation inactive</w:t>
            </w:r>
          </w:p>
        </w:tc>
      </w:tr>
      <w:tr>
        <w:trPr>
          <w:cantSplit/>
        </w:trPr>
        <w:tc>
          <w:tcPr>
            <w:tcW w:w="2430" w:type="dxa"/>
          </w:tcPr>
          <w:p>
            <w:pPr>
              <w:pStyle w:val="TableText"/>
            </w:pPr>
            <w:r>
              <w:t xml:space="preserve">Sides and bottom</w:t>
            </w:r>
          </w:p>
        </w:tc>
        <w:tc>
          <w:tcPr>
            <w:tcW w:w="1170" w:type="dxa"/>
          </w:tcPr>
          <w:p>
            <w:pPr>
              <w:pStyle w:val="TableText"/>
            </w:pPr>
            <w:r>
              <w:t xml:space="preserve">h</w:t>
            </w:r>
            <w:r>
              <w:rPr>
                <w:vertAlign w:val="subscript"/>
              </w:rPr>
              <w:t xml:space="preserve">solid</w:t>
            </w:r>
            <w:r>
              <w:t xml:space="preserve">, T</w:t>
            </w:r>
            <w:r>
              <w:rPr>
                <w:vertAlign w:val="subscript"/>
              </w:rPr>
              <w:t xml:space="preserve">far</w:t>
            </w:r>
          </w:p>
        </w:tc>
        <w:tc>
          <w:tcPr>
            <w:tcW w:w="1170" w:type="dxa"/>
          </w:tcPr>
          <w:p>
            <w:pPr>
              <w:pStyle w:val="TableText"/>
            </w:pPr>
            <w:r>
              <w:t xml:space="preserve">fixed</w:t>
            </w:r>
          </w:p>
        </w:tc>
        <w:tc>
          <w:tcPr>
            <w:tcW w:w="1080" w:type="dxa"/>
          </w:tcPr>
          <w:p>
            <w:pPr>
              <w:pStyle w:val="TableText"/>
            </w:pPr>
            <w:r>
              <w:t xml:space="preserve">W/(m²·K), K</w:t>
            </w:r>
          </w:p>
        </w:tc>
        <w:tc>
          <w:tcPr>
            <w:tcW w:w="3150" w:type="dxa"/>
          </w:tcPr>
          <w:p>
            <w:pPr>
              <w:pStyle w:val="TableText"/>
            </w:pPr>
            <w:r>
              <w:t xml:space="preserve">solid-absorbing, 1000, 298.15</w:t>
            </w:r>
          </w:p>
        </w:tc>
      </w:tr>
      <w:tr>
        <w:trPr>
          <w:cantSplit/>
        </w:trPr>
        <w:tc>
          <w:tcPr>
            <w:tcW w:w="9000" w:type="dxa"/>
            <w:gridSpan w:val="5"/>
            <w:tcBorders>
              <w:top w:val="single" w:sz="4" w:space="0" w:color="000000"/>
            </w:tcBorders>
          </w:tcPr>
          <w:p>
            <w:pPr>
              <w:pStyle w:val="TableText"/>
            </w:pPr>
            <w:r>
              <w:rPr>
                <w:b/>
              </w:rPr>
              <w:t xml:space="preserve">Boiling regulator</w:t>
            </w:r>
          </w:p>
        </w:tc>
      </w:tr>
      <w:tr>
        <w:trPr>
          <w:cantSplit/>
        </w:trPr>
        <w:tc>
          <w:tcPr>
            <w:tcW w:w="2430" w:type="dxa"/>
          </w:tcPr>
          <w:p>
            <w:pPr>
              <w:pStyle w:val="TableText"/>
            </w:pPr>
            <w:r>
              <w:t xml:space="preserve">Threshold</w:t>
            </w:r>
          </w:p>
        </w:tc>
        <w:tc>
          <w:tcPr>
            <w:tcW w:w="1170" w:type="dxa"/>
          </w:tcPr>
          <w:p>
            <w:pPr>
              <w:pStyle w:val="TableText"/>
            </w:pPr>
            <w:r>
              <w:t xml:space="preserve">T</w:t>
            </w:r>
            <w:r>
              <w:rPr>
                <w:vertAlign w:val="subscript"/>
              </w:rPr>
              <w:t xml:space="preserve">b</w:t>
            </w:r>
          </w:p>
        </w:tc>
        <w:tc>
          <w:tcPr>
            <w:tcW w:w="1170" w:type="dxa"/>
          </w:tcPr>
          <w:p>
            <w:pPr>
              <w:pStyle w:val="TableText"/>
            </w:pPr>
            <w:r>
              <w:t xml:space="preserve">fixed</w:t>
            </w:r>
          </w:p>
        </w:tc>
        <w:tc>
          <w:tcPr>
            <w:tcW w:w="1080" w:type="dxa"/>
          </w:tcPr>
          <w:p>
            <w:pPr>
              <w:pStyle w:val="TableText"/>
            </w:pPr>
            <w:r>
              <w:t xml:space="preserve">K</w:t>
            </w:r>
          </w:p>
        </w:tc>
        <w:tc>
          <w:tcPr>
            <w:tcW w:w="3150" w:type="dxa"/>
          </w:tcPr>
          <w:p>
            <w:pPr>
              <w:pStyle w:val="TableText"/>
            </w:pPr>
            <w:r>
              <w:t xml:space="preserve">3133.15</w:t>
            </w:r>
          </w:p>
        </w:tc>
      </w:tr>
      <w:tr>
        <w:trPr>
          <w:cantSplit/>
        </w:trPr>
        <w:tc>
          <w:tcPr>
            <w:tcW w:w="2430" w:type="dxa"/>
          </w:tcPr>
          <w:p>
            <w:pPr>
              <w:pStyle w:val="TableText"/>
            </w:pPr>
            <w:r>
              <w:t xml:space="preserve">Strength</w:t>
            </w:r>
          </w:p>
        </w:tc>
        <w:tc>
          <w:tcPr>
            <w:tcW w:w="1170" w:type="dxa"/>
          </w:tcPr>
          <w:p>
            <w:pPr>
              <w:pStyle w:val="TableText"/>
            </w:pPr>
            <w:r>
              <w:t xml:space="preserve">b</w:t>
            </w:r>
          </w:p>
        </w:tc>
        <w:tc>
          <w:tcPr>
            <w:tcW w:w="1170" w:type="dxa"/>
          </w:tcPr>
          <w:p>
            <w:pPr>
              <w:pStyle w:val="TableText"/>
            </w:pPr>
            <w:r>
              <w:t xml:space="preserve">fixed</w:t>
            </w:r>
          </w:p>
        </w:tc>
        <w:tc>
          <w:tcPr>
            <w:tcW w:w="1080" w:type="dxa"/>
          </w:tcPr>
          <w:p>
            <w:pPr>
              <w:pStyle w:val="TableText"/>
            </w:pPr>
            <w:r>
              <w:t xml:space="preserve">–</w:t>
            </w:r>
          </w:p>
        </w:tc>
        <w:tc>
          <w:tcPr>
            <w:tcW w:w="3150" w:type="dxa"/>
          </w:tcPr>
          <w:p>
            <w:pPr>
              <w:pStyle w:val="TableText"/>
            </w:pPr>
            <w:r>
              <w:t xml:space="preserve">0.5</w:t>
            </w:r>
          </w:p>
        </w:tc>
      </w:tr>
      <w:tr>
        <w:trPr>
          <w:cantSplit/>
        </w:trPr>
        <w:tc>
          <w:tcPr>
            <w:tcW w:w="2430" w:type="dxa"/>
          </w:tcPr>
          <w:p>
            <w:pPr>
              <w:pStyle w:val="TableText"/>
            </w:pPr>
            <w:r>
              <w:t xml:space="preserve">Reference conductance</w:t>
            </w:r>
          </w:p>
        </w:tc>
        <w:tc>
          <w:tcPr>
            <w:tcW w:w="1170" w:type="dxa"/>
          </w:tcPr>
          <w:p>
            <w:pPr>
              <w:pStyle w:val="TableText"/>
            </w:pPr>
            <w:r>
              <w:t xml:space="preserve">h</w:t>
            </w:r>
            <w:r>
              <w:rPr>
                <w:vertAlign w:val="subscript"/>
              </w:rPr>
              <w:t xml:space="preserve">ref</w:t>
            </w:r>
          </w:p>
        </w:tc>
        <w:tc>
          <w:tcPr>
            <w:tcW w:w="1170" w:type="dxa"/>
          </w:tcPr>
          <w:p>
            <w:pPr>
              <w:pStyle w:val="TableText"/>
            </w:pPr>
            <w:r>
              <w:t xml:space="preserve">fixed</w:t>
            </w:r>
          </w:p>
        </w:tc>
        <w:tc>
          <w:tcPr>
            <w:tcW w:w="1080" w:type="dxa"/>
          </w:tcPr>
          <w:p>
            <w:pPr>
              <w:pStyle w:val="TableText"/>
            </w:pPr>
            <w:r>
              <w:t xml:space="preserve">W/(m²·K)</w:t>
            </w:r>
          </w:p>
        </w:tc>
        <w:tc>
          <w:tcPr>
            <w:tcW w:w="3150" w:type="dxa"/>
          </w:tcPr>
          <w:p>
            <w:pPr>
              <w:pStyle w:val="TableText"/>
            </w:pPr>
            <w:r>
              <w:t xml:space="preserve">8.0 × 10⁶</w:t>
            </w:r>
          </w:p>
        </w:tc>
      </w:tr>
      <w:tr>
        <w:trPr>
          <w:cantSplit/>
        </w:trPr>
        <w:tc>
          <w:tcPr>
            <w:tcW w:w="2430" w:type="dxa"/>
          </w:tcPr>
          <w:p>
            <w:pPr>
              <w:pStyle w:val="TableText"/>
            </w:pPr>
            <w:r>
              <w:t xml:space="preserve">Reference superheat</w:t>
            </w:r>
          </w:p>
        </w:tc>
        <w:tc>
          <w:tcPr>
            <w:tcW w:w="1170" w:type="dxa"/>
          </w:tcPr>
          <w:p>
            <w:pPr>
              <w:pStyle w:val="TableText"/>
            </w:pPr>
            <w:r>
              <w:t xml:space="preserve">ΔT</w:t>
            </w:r>
            <w:r>
              <w:rPr>
                <w:vertAlign w:val="subscript"/>
              </w:rPr>
              <w:t xml:space="preserve">ref</w:t>
            </w:r>
          </w:p>
        </w:tc>
        <w:tc>
          <w:tcPr>
            <w:tcW w:w="1170" w:type="dxa"/>
          </w:tcPr>
          <w:p>
            <w:pPr>
              <w:pStyle w:val="TableText"/>
            </w:pPr>
            <w:r>
              <w:t xml:space="preserve">fixed</w:t>
            </w:r>
          </w:p>
        </w:tc>
        <w:tc>
          <w:tcPr>
            <w:tcW w:w="1080" w:type="dxa"/>
          </w:tcPr>
          <w:p>
            <w:pPr>
              <w:pStyle w:val="TableText"/>
            </w:pPr>
            <w:r>
              <w:t xml:space="preserve">K</w:t>
            </w:r>
          </w:p>
        </w:tc>
        <w:tc>
          <w:tcPr>
            <w:tcW w:w="3150" w:type="dxa"/>
          </w:tcPr>
          <w:p>
            <w:pPr>
              <w:pStyle w:val="TableText"/>
            </w:pPr>
            <w:r>
              <w:t xml:space="preserve">1000</w:t>
            </w:r>
          </w:p>
        </w:tc>
      </w:tr>
      <w:tr>
        <w:trPr>
          <w:cantSplit/>
        </w:trPr>
        <w:tc>
          <w:tcPr>
            <w:tcW w:w="2430" w:type="dxa"/>
          </w:tcPr>
          <w:p>
            <w:pPr>
              <w:pStyle w:val="TableText"/>
            </w:pPr>
            <w:r>
              <w:t xml:space="preserve">Transition width</w:t>
            </w:r>
          </w:p>
        </w:tc>
        <w:tc>
          <w:tcPr>
            <w:tcW w:w="1170" w:type="dxa"/>
          </w:tcPr>
          <w:p>
            <w:pPr>
              <w:pStyle w:val="TableText"/>
            </w:pPr>
            <w:r>
              <w:t xml:space="preserve">–</w:t>
            </w:r>
          </w:p>
        </w:tc>
        <w:tc>
          <w:tcPr>
            <w:tcW w:w="1170" w:type="dxa"/>
          </w:tcPr>
          <w:p>
            <w:pPr>
              <w:pStyle w:val="TableText"/>
            </w:pPr>
            <w:r>
              <w:t xml:space="preserve">fixed</w:t>
            </w:r>
          </w:p>
        </w:tc>
        <w:tc>
          <w:tcPr>
            <w:tcW w:w="1080" w:type="dxa"/>
          </w:tcPr>
          <w:p>
            <w:pPr>
              <w:pStyle w:val="TableText"/>
            </w:pPr>
            <w:r>
              <w:t xml:space="preserve">K</w:t>
            </w:r>
          </w:p>
        </w:tc>
        <w:tc>
          <w:tcPr>
            <w:tcW w:w="3150" w:type="dxa"/>
          </w:tcPr>
          <w:p>
            <w:pPr>
              <w:pStyle w:val="TableText"/>
            </w:pPr>
            <w:r>
              <w:t xml:space="preserve">250 (smoothstep); energy sink, no cap</w:t>
            </w:r>
          </w:p>
        </w:tc>
      </w:tr>
      <w:tr>
        <w:trPr>
          <w:cantSplit/>
        </w:trPr>
        <w:tc>
          <w:tcPr>
            <w:tcW w:w="9000" w:type="dxa"/>
            <w:gridSpan w:val="5"/>
            <w:tcBorders>
              <w:top w:val="single" w:sz="4" w:space="0" w:color="000000"/>
            </w:tcBorders>
          </w:tcPr>
          <w:p>
            <w:pPr>
              <w:pStyle w:val="TableText"/>
            </w:pPr>
            <w:r>
              <w:rPr>
                <w:b/>
              </w:rPr>
              <w:t xml:space="preserve">Observation</w:t>
            </w:r>
          </w:p>
        </w:tc>
      </w:tr>
      <w:tr>
        <w:trPr>
          <w:cantSplit/>
        </w:trPr>
        <w:tc>
          <w:tcPr>
            <w:tcW w:w="2430" w:type="dxa"/>
          </w:tcPr>
          <w:p>
            <w:pPr>
              <w:pStyle w:val="TableText"/>
            </w:pPr>
            <w:r>
              <w:t xml:space="preserve">Liquid mask</w:t>
            </w:r>
          </w:p>
        </w:tc>
        <w:tc>
          <w:tcPr>
            <w:tcW w:w="1170" w:type="dxa"/>
          </w:tcPr>
          <w:p>
            <w:pPr>
              <w:pStyle w:val="TableText"/>
            </w:pPr>
            <w:r>
              <w:t xml:space="preserve">T ≥ T</w:t>
            </w:r>
            <w:r>
              <w:rPr>
                <w:vertAlign w:val="subscript"/>
              </w:rPr>
              <w:t xml:space="preserve">l</w:t>
            </w:r>
          </w:p>
        </w:tc>
        <w:tc>
          <w:tcPr>
            <w:tcW w:w="1170" w:type="dxa"/>
          </w:tcPr>
          <w:p>
            <w:pPr>
              <w:pStyle w:val="TableText"/>
            </w:pPr>
            <w:r>
              <w:t xml:space="preserve">fixed</w:t>
            </w:r>
          </w:p>
        </w:tc>
        <w:tc>
          <w:tcPr>
            <w:tcW w:w="1080" w:type="dxa"/>
          </w:tcPr>
          <w:p>
            <w:pPr>
              <w:pStyle w:val="TableText"/>
            </w:pPr>
            <w:r>
              <w:t xml:space="preserve">–</w:t>
            </w:r>
          </w:p>
        </w:tc>
        <w:tc>
          <w:tcPr>
            <w:tcW w:w="3150" w:type="dxa"/>
          </w:tcPr>
          <w:p>
            <w:pPr>
              <w:pStyle w:val="TableText"/>
            </w:pPr>
            <w:r>
              <w:t xml:space="preserve">top-surface cells, 4-connected components</w:t>
            </w:r>
          </w:p>
        </w:tc>
      </w:tr>
      <w:tr>
        <w:trPr>
          <w:cantSplit/>
        </w:trPr>
        <w:tc>
          <w:tcPr>
            <w:tcW w:w="2430" w:type="dxa"/>
          </w:tcPr>
          <w:p>
            <w:pPr>
              <w:pStyle w:val="TableText"/>
            </w:pPr>
            <w:r>
              <w:t xml:space="preserve">Laser association</w:t>
            </w:r>
          </w:p>
        </w:tc>
        <w:tc>
          <w:tcPr>
            <w:tcW w:w="1170" w:type="dxa"/>
          </w:tcPr>
          <w:p>
            <w:pPr>
              <w:pStyle w:val="TableText"/>
            </w:pPr>
            <w:r>
              <w:t xml:space="preserve">B</w:t>
            </w:r>
            <w:r>
              <w:rPr>
                <w:vertAlign w:val="subscript"/>
              </w:rPr>
              <w:t xml:space="preserve">m</w:t>
            </w:r>
          </w:p>
        </w:tc>
        <w:tc>
          <w:tcPr>
            <w:tcW w:w="1170" w:type="dxa"/>
          </w:tcPr>
          <w:p>
            <w:pPr>
              <w:pStyle w:val="TableText"/>
            </w:pPr>
            <w:r>
              <w:t xml:space="preserve">fixed</w:t>
            </w:r>
          </w:p>
        </w:tc>
        <w:tc>
          <w:tcPr>
            <w:tcW w:w="1080" w:type="dxa"/>
          </w:tcPr>
          <w:p>
            <w:pPr>
              <w:pStyle w:val="TableText"/>
            </w:pPr>
            <w:r>
              <w:t xml:space="preserve">–</w:t>
            </w:r>
          </w:p>
        </w:tc>
        <w:tc>
          <w:tcPr>
            <w:tcW w:w="3150" w:type="dxa"/>
          </w:tcPr>
          <w:p>
            <w:pPr>
              <w:pStyle w:val="TableText"/>
            </w:pPr>
            <w:r>
              <w:t xml:space="preserve">largest beam share, at least 2%</w:t>
            </w:r>
          </w:p>
        </w:tc>
      </w:tr>
      <w:tr>
        <w:trPr>
          <w:cantSplit/>
        </w:trPr>
        <w:tc>
          <w:tcPr>
            <w:tcW w:w="2430" w:type="dxa"/>
          </w:tcPr>
          <w:p>
            <w:pPr>
              <w:pStyle w:val="TableText"/>
            </w:pPr>
            <w:r>
              <w:t xml:space="preserve">Footprint geometry</w:t>
            </w:r>
          </w:p>
        </w:tc>
        <w:tc>
          <w:tcPr>
            <w:tcW w:w="1170" w:type="dxa"/>
          </w:tcPr>
          <w:p>
            <w:pPr>
              <w:pStyle w:val="TableText"/>
            </w:pPr>
            <w:r>
              <w:t xml:space="preserve">H</w:t>
            </w:r>
            <w:r>
              <w:rPr>
                <w:vertAlign w:val="subscript"/>
              </w:rPr>
              <w:t xml:space="preserve">sim</w:t>
            </w:r>
            <w:r>
              <w:t xml:space="preserve">, W</w:t>
            </w:r>
            <w:r>
              <w:rPr>
                <w:vertAlign w:val="subscript"/>
              </w:rPr>
              <w:t xml:space="preserve">sim</w:t>
            </w:r>
          </w:p>
        </w:tc>
        <w:tc>
          <w:tcPr>
            <w:tcW w:w="1170" w:type="dxa"/>
          </w:tcPr>
          <w:p>
            <w:pPr>
              <w:pStyle w:val="TableText"/>
            </w:pPr>
            <w:r>
              <w:t xml:space="preserve">fixed</w:t>
            </w:r>
          </w:p>
        </w:tc>
        <w:tc>
          <w:tcPr>
            <w:tcW w:w="1080" w:type="dxa"/>
          </w:tcPr>
          <w:p>
            <w:pPr>
              <w:pStyle w:val="TableText"/>
            </w:pPr>
            <w:r>
              <w:t xml:space="preserve">px</w:t>
            </w:r>
          </w:p>
        </w:tc>
        <w:tc>
          <w:tcPr>
            <w:tcW w:w="3150" w:type="dxa"/>
          </w:tcPr>
          <w:p>
            <w:pPr>
              <w:pStyle w:val="TableText"/>
            </w:pPr>
            <w:r>
              <w:t xml:space="preserve">interpolated liquidus contour, minimum-area rectangle; 8 µm/px nominal</w:t>
            </w:r>
          </w:p>
        </w:tc>
      </w:tr>
      <w:tr>
        <w:trPr>
          <w:cantSplit/>
        </w:trPr>
        <w:tc>
          <w:tcPr>
            <w:tcW w:w="2430" w:type="dxa"/>
          </w:tcPr>
          <w:p>
            <w:pPr>
              <w:pStyle w:val="TableText"/>
            </w:pPr>
            <w:r>
              <w:t xml:space="preserve">Enclosure</w:t>
            </w:r>
          </w:p>
        </w:tc>
        <w:tc>
          <w:tcPr>
            <w:tcW w:w="1170" w:type="dxa"/>
          </w:tcPr>
          <w:p>
            <w:pPr>
              <w:pStyle w:val="TableText"/>
            </w:pPr>
            <w:r>
              <w:t xml:space="preserve">–</w:t>
            </w:r>
          </w:p>
        </w:tc>
        <w:tc>
          <w:tcPr>
            <w:tcW w:w="1170" w:type="dxa"/>
          </w:tcPr>
          <w:p>
            <w:pPr>
              <w:pStyle w:val="TableText"/>
            </w:pPr>
            <w:r>
              <w:t xml:space="preserve">fixed</w:t>
            </w:r>
          </w:p>
        </w:tc>
        <w:tc>
          <w:tcPr>
            <w:tcW w:w="1080" w:type="dxa"/>
          </w:tcPr>
          <w:p>
            <w:pPr>
              <w:pStyle w:val="TableText"/>
            </w:pPr>
            <w:r>
              <w:t xml:space="preserve">–</w:t>
            </w:r>
          </w:p>
        </w:tc>
        <w:tc>
          <w:tcPr>
            <w:tcW w:w="3150" w:type="dxa"/>
          </w:tcPr>
          <w:p>
            <w:pPr>
              <w:pStyle w:val="TableText"/>
            </w:pPr>
            <w:r>
              <w:t xml:space="preserve">component touching the window edge: undefined</w:t>
            </w:r>
          </w:p>
        </w:tc>
      </w:tr>
      <w:tr>
        <w:trPr>
          <w:cantSplit/>
        </w:trPr>
        <w:tc>
          <w:tcPr>
            <w:tcW w:w="9000" w:type="dxa"/>
            <w:gridSpan w:val="5"/>
            <w:tcBorders>
              <w:top w:val="single" w:sz="4" w:space="0" w:color="000000"/>
            </w:tcBorders>
          </w:tcPr>
          <w:p>
            <w:pPr>
              <w:pStyle w:val="TableText"/>
            </w:pPr>
            <w:r>
              <w:rPr>
                <w:b/>
              </w:rPr>
              <w:t xml:space="preserve">Scoring</w:t>
            </w:r>
          </w:p>
        </w:tc>
      </w:tr>
      <w:tr>
        <w:trPr>
          <w:cantSplit/>
        </w:trPr>
        <w:tc>
          <w:tcPr>
            <w:tcW w:w="2430" w:type="dxa"/>
          </w:tcPr>
          <w:p>
            <w:pPr>
              <w:pStyle w:val="TableText"/>
            </w:pPr>
            <w:r>
              <w:t xml:space="preserve">Scored frames</w:t>
            </w:r>
          </w:p>
        </w:tc>
        <w:tc>
          <w:tcPr>
            <w:tcW w:w="1170" w:type="dxa"/>
          </w:tcPr>
          <w:p>
            <w:pPr>
              <w:pStyle w:val="TableText"/>
            </w:pPr>
            <w:r>
              <w:t xml:space="preserve">–</w:t>
            </w:r>
          </w:p>
        </w:tc>
        <w:tc>
          <w:tcPr>
            <w:tcW w:w="1170" w:type="dxa"/>
          </w:tcPr>
          <w:p>
            <w:pPr>
              <w:pStyle w:val="TableText"/>
            </w:pPr>
            <w:r>
              <w:t xml:space="preserve">fixed</w:t>
            </w:r>
          </w:p>
        </w:tc>
        <w:tc>
          <w:tcPr>
            <w:tcW w:w="1080" w:type="dxa"/>
          </w:tcPr>
          <w:p>
            <w:pPr>
              <w:pStyle w:val="TableText"/>
            </w:pPr>
            <w:r>
              <w:t xml:space="preserve">–</w:t>
            </w:r>
          </w:p>
        </w:tc>
        <w:tc>
          <w:tcPr>
            <w:tcW w:w="3150" w:type="dxa"/>
          </w:tcPr>
          <w:p>
            <w:pPr>
              <w:pStyle w:val="TableText"/>
            </w:pPr>
            <w:r>
              <w:t xml:space="preserve">first and last eligible frame of each track excluded</w:t>
            </w:r>
          </w:p>
        </w:tc>
      </w:tr>
      <w:tr>
        <w:trPr>
          <w:cantSplit/>
        </w:trPr>
        <w:tc>
          <w:tcPr>
            <w:tcW w:w="2430" w:type="dxa"/>
          </w:tcPr>
          <w:p>
            <w:pPr>
              <w:pStyle w:val="TableText"/>
            </w:pPr>
            <w:r>
              <w:t xml:space="preserve">Pixel floor and weights</w:t>
            </w:r>
          </w:p>
        </w:tc>
        <w:tc>
          <w:tcPr>
            <w:tcW w:w="1170" w:type="dxa"/>
          </w:tcPr>
          <w:p>
            <w:pPr>
              <w:pStyle w:val="TableText"/>
            </w:pPr>
            <w:r>
              <w:t xml:space="preserve">–</w:t>
            </w:r>
          </w:p>
        </w:tc>
        <w:tc>
          <w:tcPr>
            <w:tcW w:w="1170" w:type="dxa"/>
          </w:tcPr>
          <w:p>
            <w:pPr>
              <w:pStyle w:val="TableText"/>
            </w:pPr>
            <w:r>
              <w:t xml:space="preserve">fixed</w:t>
            </w:r>
          </w:p>
        </w:tc>
        <w:tc>
          <w:tcPr>
            <w:tcW w:w="1080" w:type="dxa"/>
          </w:tcPr>
          <w:p>
            <w:pPr>
              <w:pStyle w:val="TableText"/>
            </w:pPr>
            <w:r>
              <w:t xml:space="preserve">px, –</w:t>
            </w:r>
          </w:p>
        </w:tc>
        <w:tc>
          <w:tcPr>
            <w:tcW w:w="3150" w:type="dxa"/>
          </w:tcPr>
          <w:p>
            <w:pPr>
              <w:pStyle w:val="TableText"/>
            </w:pPr>
            <w:r>
              <w:t xml:space="preserve">1 px; w</w:t>
            </w:r>
            <w:r>
              <w:rPr>
                <w:vertAlign w:val="subscript"/>
              </w:rPr>
              <w:t xml:space="preserve">H</w:t>
            </w:r>
            <w:r>
              <w:t xml:space="preserve"> = w</w:t>
            </w:r>
            <w:r>
              <w:rPr>
                <w:vertAlign w:val="subscript"/>
              </w:rPr>
              <w:t xml:space="preserve">W</w:t>
            </w:r>
            <w:r>
              <w:t xml:space="preserve"> = 0.5</w:t>
            </w:r>
          </w:p>
        </w:tc>
      </w:tr>
      <w:tr>
        <w:trPr>
          <w:cantSplit/>
        </w:trPr>
        <w:tc>
          <w:tcPr>
            <w:tcW w:w="2430" w:type="dxa"/>
          </w:tcPr>
          <w:p>
            <w:pPr>
              <w:pStyle w:val="TableText"/>
            </w:pPr>
            <w:r>
              <w:t xml:space="preserve">Coverage floor</w:t>
            </w:r>
          </w:p>
        </w:tc>
        <w:tc>
          <w:tcPr>
            <w:tcW w:w="1170" w:type="dxa"/>
          </w:tcPr>
          <w:p>
            <w:pPr>
              <w:pStyle w:val="TableText"/>
            </w:pPr>
            <w:r>
              <w:t xml:space="preserve">–</w:t>
            </w:r>
          </w:p>
        </w:tc>
        <w:tc>
          <w:tcPr>
            <w:tcW w:w="1170" w:type="dxa"/>
          </w:tcPr>
          <w:p>
            <w:pPr>
              <w:pStyle w:val="TableText"/>
            </w:pPr>
            <w:r>
              <w:t xml:space="preserve">fixed</w:t>
            </w:r>
          </w:p>
        </w:tc>
        <w:tc>
          <w:tcPr>
            <w:tcW w:w="1080" w:type="dxa"/>
          </w:tcPr>
          <w:p>
            <w:pPr>
              <w:pStyle w:val="TableText"/>
            </w:pPr>
            <w:r>
              <w:t xml:space="preserve">–</w:t>
            </w:r>
          </w:p>
        </w:tc>
        <w:tc>
          <w:tcPr>
            <w:tcW w:w="3150" w:type="dxa"/>
          </w:tcPr>
          <w:p>
            <w:pPr>
              <w:pStyle w:val="TableText"/>
            </w:pPr>
            <w:r>
              <w:t xml:space="preserve">95% per coupon (flag only)</w:t>
            </w:r>
          </w:p>
        </w:tc>
      </w:tr>
      <w:tr>
        <w:trPr>
          <w:cantSplit/>
        </w:trPr>
        <w:tc>
          <w:tcPr>
            <w:tcW w:w="9000" w:type="dxa"/>
            <w:gridSpan w:val="5"/>
            <w:tcBorders>
              <w:top w:val="single" w:sz="4" w:space="0" w:color="000000"/>
            </w:tcBorders>
          </w:tcPr>
          <w:p>
            <w:pPr>
              <w:pStyle w:val="TableText"/>
            </w:pPr>
            <w:r>
              <w:rPr>
                <w:b/>
              </w:rPr>
              <w:t xml:space="preserve">Calibrated reduced-order parameters</w:t>
            </w:r>
          </w:p>
        </w:tc>
      </w:tr>
      <w:tr>
        <w:trPr>
          <w:cantSplit/>
        </w:trPr>
        <w:tc>
          <w:tcPr>
            <w:tcW w:w="2430" w:type="dxa"/>
          </w:tcPr>
          <w:p>
            <w:pPr>
              <w:pStyle w:val="TableText"/>
            </w:pPr>
            <w:r>
              <w:t xml:space="preserve">Absorptivity</w:t>
            </w:r>
          </w:p>
        </w:tc>
        <w:tc>
          <w:tcPr>
            <w:tcW w:w="1170" w:type="dxa"/>
          </w:tcPr>
          <w:p>
            <w:pPr>
              <w:pStyle w:val="TableText"/>
            </w:pPr>
            <w:r>
              <w:t xml:space="preserve">α</w:t>
            </w:r>
          </w:p>
        </w:tc>
        <w:tc>
          <w:tcPr>
            <w:tcW w:w="1170" w:type="dxa"/>
          </w:tcPr>
          <w:p>
            <w:pPr>
              <w:pStyle w:val="TableText"/>
            </w:pPr>
            <w:r>
              <w:t xml:space="preserve">calibrated via t</w:t>
            </w:r>
          </w:p>
        </w:tc>
        <w:tc>
          <w:tcPr>
            <w:tcW w:w="1080" w:type="dxa"/>
          </w:tcPr>
          <w:p>
            <w:pPr>
              <w:pStyle w:val="TableText"/>
            </w:pPr>
            <w:r>
              <w:t xml:space="preserve">–</w:t>
            </w:r>
          </w:p>
        </w:tc>
        <w:tc>
          <w:tcPr>
            <w:tcW w:w="3150" w:type="dxa"/>
          </w:tcPr>
          <w:p>
            <w:pPr>
              <w:pStyle w:val="TableText"/>
            </w:pPr>
            <w:r>
              <w:t xml:space="preserve">α(t), t ∈ [−3, 3]; selected 0.490</w:t>
            </w:r>
          </w:p>
        </w:tc>
      </w:tr>
      <w:tr>
        <w:trPr>
          <w:cantSplit/>
        </w:trPr>
        <w:tc>
          <w:tcPr>
            <w:tcW w:w="2430" w:type="dxa"/>
          </w:tcPr>
          <w:p>
            <w:pPr>
              <w:pStyle w:val="TableText"/>
            </w:pPr>
            <w:r>
              <w:t xml:space="preserve">Deposition depth</w:t>
            </w:r>
          </w:p>
        </w:tc>
        <w:tc>
          <w:tcPr>
            <w:tcW w:w="1170" w:type="dxa"/>
          </w:tcPr>
          <w:p>
            <w:pPr>
              <w:pStyle w:val="TableText"/>
            </w:pPr>
            <w:r>
              <w:t xml:space="preserve">δ</w:t>
            </w:r>
          </w:p>
        </w:tc>
        <w:tc>
          <w:tcPr>
            <w:tcW w:w="1170" w:type="dxa"/>
          </w:tcPr>
          <w:p>
            <w:pPr>
              <w:pStyle w:val="TableText"/>
            </w:pPr>
            <w:r>
              <w:t xml:space="preserve">calibrated via t</w:t>
            </w:r>
          </w:p>
        </w:tc>
        <w:tc>
          <w:tcPr>
            <w:tcW w:w="1080" w:type="dxa"/>
          </w:tcPr>
          <w:p>
            <w:pPr>
              <w:pStyle w:val="TableText"/>
            </w:pPr>
            <w:r>
              <w:t xml:space="preserve">mm</w:t>
            </w:r>
          </w:p>
        </w:tc>
        <w:tc>
          <w:tcPr>
            <w:tcW w:w="3150" w:type="dxa"/>
          </w:tcPr>
          <w:p>
            <w:pPr>
              <w:pStyle w:val="TableText"/>
            </w:pPr>
            <w:r>
              <w:t xml:space="preserve">δ(t), coupled to α; selected 0.0983</w:t>
            </w:r>
          </w:p>
        </w:tc>
      </w:tr>
      <w:tr>
        <w:trPr>
          <w:cantSplit/>
        </w:trPr>
        <w:tc>
          <w:tcPr>
            <w:tcW w:w="2430" w:type="dxa"/>
          </w:tcPr>
          <w:p>
            <w:pPr>
              <w:pStyle w:val="TableText"/>
            </w:pPr>
            <w:r>
              <w:t xml:space="preserve">Liquid conductivity factor</w:t>
            </w:r>
          </w:p>
        </w:tc>
        <w:tc>
          <w:tcPr>
            <w:tcW w:w="1170" w:type="dxa"/>
          </w:tcPr>
          <w:p>
            <w:pPr>
              <w:pStyle w:val="TableText"/>
            </w:pPr>
            <w:r>
              <w:t xml:space="preserve">c</w:t>
            </w:r>
            <w:r>
              <w:rPr>
                <w:vertAlign w:val="subscript"/>
              </w:rPr>
              <w:t xml:space="preserve">k</w:t>
            </w:r>
          </w:p>
        </w:tc>
        <w:tc>
          <w:tcPr>
            <w:tcW w:w="1170" w:type="dxa"/>
          </w:tcPr>
          <w:p>
            <w:pPr>
              <w:pStyle w:val="TableText"/>
            </w:pPr>
            <w:r>
              <w:t xml:space="preserve">calibrated</w:t>
            </w:r>
          </w:p>
        </w:tc>
        <w:tc>
          <w:tcPr>
            <w:tcW w:w="1080" w:type="dxa"/>
          </w:tcPr>
          <w:p>
            <w:pPr>
              <w:pStyle w:val="TableText"/>
            </w:pPr>
            <w:r>
              <w:t xml:space="preserve">–</w:t>
            </w:r>
          </w:p>
        </w:tc>
        <w:tc>
          <w:tcPr>
            <w:tcW w:w="3150" w:type="dxa"/>
          </w:tcPr>
          <w:p>
            <w:pPr>
              <w:pStyle w:val="TableText"/>
            </w:pPr>
            <w:r>
              <w:t xml:space="preserve">[1.5, 2.5]; selected 2.418</w:t>
            </w:r>
          </w:p>
        </w:tc>
      </w:tr>
      <w:tr>
        <w:trPr>
          <w:cantSplit/>
        </w:trPr>
        <w:tc>
          <w:tcPr>
            <w:tcW w:w="2430" w:type="dxa"/>
          </w:tcPr>
          <w:p>
            <w:pPr>
              <w:pStyle w:val="TableText"/>
            </w:pPr>
            <w:r>
              <w:t xml:space="preserve">Directional transport</w:t>
            </w:r>
          </w:p>
        </w:tc>
        <w:tc>
          <w:tcPr>
            <w:tcW w:w="1170" w:type="dxa"/>
          </w:tcPr>
          <w:p>
            <w:pPr>
              <w:pStyle w:val="TableText"/>
            </w:pPr>
            <w:r>
              <w:t xml:space="preserve">η</w:t>
            </w:r>
          </w:p>
        </w:tc>
        <w:tc>
          <w:tcPr>
            <w:tcW w:w="1170" w:type="dxa"/>
          </w:tcPr>
          <w:p>
            <w:pPr>
              <w:pStyle w:val="TableText"/>
            </w:pPr>
            <w:r>
              <w:t xml:space="preserve">calibrated</w:t>
            </w:r>
          </w:p>
        </w:tc>
        <w:tc>
          <w:tcPr>
            <w:tcW w:w="1080" w:type="dxa"/>
          </w:tcPr>
          <w:p>
            <w:pPr>
              <w:pStyle w:val="TableText"/>
            </w:pPr>
            <w:r>
              <w:t xml:space="preserve">–</w:t>
            </w:r>
          </w:p>
        </w:tc>
        <w:tc>
          <w:tcPr>
            <w:tcW w:w="3150" w:type="dxa"/>
          </w:tcPr>
          <w:p>
            <w:pPr>
              <w:pStyle w:val="TableText"/>
            </w:pPr>
            <w:r>
              <w:t xml:space="preserve">[0, 1]; selected 0</w:t>
            </w:r>
          </w:p>
        </w:tc>
      </w:tr>
    </w:tbl>
    <w:p>
      <w:pPr>
        <w:pStyle w:val="TableNote"/>
      </w:pPr>
      <w:r>
        <w:rPr>
          <w:i/>
        </w:rPr>
        <w:t xml:space="preserve">Note. </w:t>
      </w:r>
      <w:r>
        <w:t xml:space="preserve">Material properties are listed separately. Absorptivity and deposition depth share one calibration coordinate, t.</w:t>
      </w:r>
    </w:p>
    <w:p>
      <w:pPr>
        <w:pStyle w:val="Placement"/>
      </w:pPr>
      <w:r>
        <w:t xml:space="preserve">T6 · §3.4.1, PLACEHOLDER after the bounds of c_k and η</w:t>
      </w:r>
    </w:p>
    <w:p>
      <w:pPr>
        <w:pStyle w:val="TableTitle"/>
      </w:pPr>
      <w:r>
        <w:t xml:space="preserve">Table </w:t>
      </w:r>
      <w:r>
        <w:fldChar w:fldCharType="begin"/>
      </w:r>
      <w:r>
        <w:instrText xml:space="preserve"> SEQ Table \* ARABIC </w:instrText>
      </w:r>
      <w:r>
        <w:fldChar w:fldCharType="separate"/>
      </w:r>
      <w:r>
        <w:t>6</w:t>
      </w:r>
      <w:r>
        <w:fldChar w:fldCharType="end"/>
      </w:r>
      <w:r>
        <w:t xml:space="preserve">. Calibration parameters and bounds</w:t>
      </w:r>
    </w:p>
    <w:tbl>
      <w:tblPr>
        <w:tblW w:w="9000" w:type="dxa"/>
        <w:tblLayout w:type="fixed"/>
        <w:tblBorders>
          <w:top w:val="single" w:sz="8" w:space="0" w:color="000000"/>
          <w:bottom w:val="single" w:sz="8" w:space="0" w:color="000000"/>
        </w:tblBorders>
        <w:tblCellMar>
          <w:left w:w="70" w:type="dxa"/>
          <w:right w:w="70" w:type="dxa"/>
        </w:tblCellMar>
        <w:tblLook w:val="0000" w:firstRow="0" w:lastRow="0" w:firstColumn="0" w:lastColumn="0" w:noHBand="1" w:noVBand="1"/>
      </w:tblPr>
      <w:tblGrid>
        <w:gridCol w:w="1530"/>
        <w:gridCol w:w="900"/>
        <w:gridCol w:w="1080"/>
        <w:gridCol w:w="630"/>
        <w:gridCol w:w="1890"/>
        <w:gridCol w:w="2070"/>
        <w:gridCol w:w="900"/>
      </w:tblGrid>
      <w:tr>
        <w:trPr>
          <w:tblHeader/>
          <w:cantSplit/>
        </w:trPr>
        <w:tc>
          <w:tcPr>
            <w:tcW w:w="1530" w:type="dxa"/>
            <w:tcBorders>
              <w:bottom w:val="single" w:sz="6" w:space="0" w:color="000000"/>
            </w:tcBorders>
            <w:vAlign w:val="bottom"/>
          </w:tcPr>
          <w:p>
            <w:pPr>
              <w:pStyle w:val="TableText"/>
            </w:pPr>
            <w:r>
              <w:rPr>
                <w:b/>
              </w:rPr>
              <w:t xml:space="preserve">Quantity</w:t>
            </w:r>
          </w:p>
        </w:tc>
        <w:tc>
          <w:tcPr>
            <w:tcW w:w="900" w:type="dxa"/>
            <w:tcBorders>
              <w:bottom w:val="single" w:sz="6" w:space="0" w:color="000000"/>
            </w:tcBorders>
            <w:vAlign w:val="bottom"/>
          </w:tcPr>
          <w:p>
            <w:pPr>
              <w:pStyle w:val="TableText"/>
            </w:pPr>
            <w:r>
              <w:rPr>
                <w:b/>
              </w:rPr>
              <w:t xml:space="preserve">Symbol</w:t>
            </w:r>
          </w:p>
        </w:tc>
        <w:tc>
          <w:tcPr>
            <w:tcW w:w="1080" w:type="dxa"/>
            <w:tcBorders>
              <w:bottom w:val="single" w:sz="6" w:space="0" w:color="000000"/>
            </w:tcBorders>
            <w:vAlign w:val="bottom"/>
          </w:tcPr>
          <w:p>
            <w:pPr>
              <w:pStyle w:val="TableText"/>
              <w:jc w:val="center"/>
            </w:pPr>
            <w:r>
              <w:rPr>
                <w:b/>
              </w:rPr>
              <w:t xml:space="preserve">Bounds</w:t>
            </w:r>
          </w:p>
        </w:tc>
        <w:tc>
          <w:tcPr>
            <w:tcW w:w="630" w:type="dxa"/>
            <w:tcBorders>
              <w:bottom w:val="single" w:sz="6" w:space="0" w:color="000000"/>
            </w:tcBorders>
            <w:vAlign w:val="bottom"/>
          </w:tcPr>
          <w:p>
            <w:pPr>
              <w:pStyle w:val="TableText"/>
              <w:jc w:val="center"/>
            </w:pPr>
            <w:r>
              <w:rPr>
                <w:b/>
              </w:rPr>
              <w:t xml:space="preserve">Unit</w:t>
            </w:r>
          </w:p>
        </w:tc>
        <w:tc>
          <w:tcPr>
            <w:tcW w:w="1890" w:type="dxa"/>
            <w:tcBorders>
              <w:bottom w:val="single" w:sz="6" w:space="0" w:color="000000"/>
            </w:tcBorders>
            <w:vAlign w:val="bottom"/>
          </w:tcPr>
          <w:p>
            <w:pPr>
              <w:pStyle w:val="TableText"/>
            </w:pPr>
            <w:r>
              <w:rPr>
                <w:b/>
              </w:rPr>
              <w:t xml:space="preserve">Definition</w:t>
            </w:r>
          </w:p>
        </w:tc>
        <w:tc>
          <w:tcPr>
            <w:tcW w:w="2070" w:type="dxa"/>
            <w:tcBorders>
              <w:bottom w:val="single" w:sz="6" w:space="0" w:color="000000"/>
            </w:tcBorders>
            <w:vAlign w:val="bottom"/>
          </w:tcPr>
          <w:p>
            <w:pPr>
              <w:pStyle w:val="TableText"/>
            </w:pPr>
            <w:r>
              <w:rPr>
                <w:b/>
              </w:rPr>
              <w:t xml:space="preserve">Physical interpretation</w:t>
            </w:r>
          </w:p>
        </w:tc>
        <w:tc>
          <w:tcPr>
            <w:tcW w:w="900" w:type="dxa"/>
            <w:tcBorders>
              <w:bottom w:val="single" w:sz="6" w:space="0" w:color="000000"/>
            </w:tcBorders>
            <w:vAlign w:val="bottom"/>
          </w:tcPr>
          <w:p>
            <w:pPr>
              <w:pStyle w:val="TableText"/>
              <w:jc w:val="center"/>
            </w:pPr>
            <w:r>
              <w:rPr>
                <w:b/>
              </w:rPr>
              <w:t xml:space="preserve">Selected</w:t>
            </w:r>
          </w:p>
        </w:tc>
      </w:tr>
      <w:tr>
        <w:trPr>
          <w:cantSplit/>
        </w:trPr>
        <w:tc>
          <w:tcPr>
            <w:tcW w:w="1530" w:type="dxa"/>
          </w:tcPr>
          <w:p>
            <w:pPr>
              <w:pStyle w:val="TableText"/>
            </w:pPr>
            <w:r>
              <w:t xml:space="preserve">Absorptivity–depth coordinate</w:t>
            </w:r>
          </w:p>
        </w:tc>
        <w:tc>
          <w:tcPr>
            <w:tcW w:w="900" w:type="dxa"/>
          </w:tcPr>
          <w:p>
            <w:pPr>
              <w:pStyle w:val="TableText"/>
            </w:pPr>
            <w:r>
              <w:t xml:space="preserve">t</w:t>
            </w:r>
          </w:p>
        </w:tc>
        <w:tc>
          <w:tcPr>
            <w:tcW w:w="1080" w:type="dxa"/>
          </w:tcPr>
          <w:p>
            <w:pPr>
              <w:pStyle w:val="TableText"/>
              <w:jc w:val="center"/>
            </w:pPr>
            <w:r>
              <w:t xml:space="preserve">[−3, 3]</w:t>
            </w:r>
          </w:p>
        </w:tc>
        <w:tc>
          <w:tcPr>
            <w:tcW w:w="630" w:type="dxa"/>
          </w:tcPr>
          <w:p>
            <w:pPr>
              <w:pStyle w:val="TableText"/>
              <w:jc w:val="center"/>
            </w:pPr>
            <w:r>
              <w:t xml:space="preserve">–</w:t>
            </w:r>
          </w:p>
        </w:tc>
        <w:tc>
          <w:tcPr>
            <w:tcW w:w="1890" w:type="dxa"/>
          </w:tcPr>
          <w:p>
            <w:pPr>
              <w:pStyle w:val="TableText"/>
            </w:pPr>
            <w:r>
              <w:t xml:space="preserve">calibration coordinate</w:t>
            </w:r>
          </w:p>
        </w:tc>
        <w:tc>
          <w:tcPr>
            <w:tcW w:w="2070" w:type="dxa"/>
          </w:tcPr>
          <w:p>
            <w:pPr>
              <w:pStyle w:val="TableText"/>
            </w:pPr>
            <w:r>
              <w:t xml:space="preserve">One identifiable direction that moves α and δ together</w:t>
            </w:r>
          </w:p>
        </w:tc>
        <w:tc>
          <w:tcPr>
            <w:tcW w:w="900" w:type="dxa"/>
          </w:tcPr>
          <w:p>
            <w:pPr>
              <w:pStyle w:val="TableText"/>
              <w:jc w:val="center"/>
            </w:pPr>
            <w:r>
              <w:t xml:space="preserve">−3 (lower bound)</w:t>
            </w:r>
          </w:p>
        </w:tc>
      </w:tr>
      <w:tr>
        <w:trPr>
          <w:cantSplit/>
        </w:trPr>
        <w:tc>
          <w:tcPr>
            <w:tcW w:w="1530" w:type="dxa"/>
          </w:tcPr>
          <w:p>
            <w:pPr>
              <w:pStyle w:val="TableText"/>
            </w:pPr>
            <w:r>
              <w:t xml:space="preserve">Absorptivity</w:t>
            </w:r>
          </w:p>
        </w:tc>
        <w:tc>
          <w:tcPr>
            <w:tcW w:w="900" w:type="dxa"/>
          </w:tcPr>
          <w:p>
            <w:pPr>
              <w:pStyle w:val="TableText"/>
            </w:pPr>
            <w:r>
              <w:t xml:space="preserve">α(t)</w:t>
            </w:r>
          </w:p>
        </w:tc>
        <w:tc>
          <w:tcPr>
            <w:tcW w:w="1080" w:type="dxa"/>
          </w:tcPr>
          <w:p>
            <w:pPr>
              <w:pStyle w:val="TableText"/>
              <w:jc w:val="center"/>
            </w:pPr>
            <w:r>
              <w:t xml:space="preserve">0.490–0.641</w:t>
            </w:r>
          </w:p>
        </w:tc>
        <w:tc>
          <w:tcPr>
            <w:tcW w:w="630" w:type="dxa"/>
          </w:tcPr>
          <w:p>
            <w:pPr>
              <w:pStyle w:val="TableText"/>
              <w:jc w:val="center"/>
            </w:pPr>
            <w:r>
              <w:t xml:space="preserve">–</w:t>
            </w:r>
          </w:p>
        </w:tc>
        <w:tc>
          <w:tcPr>
            <w:tcW w:w="1890" w:type="dxa"/>
          </w:tcPr>
          <w:p>
            <w:pPr>
              <w:pStyle w:val="TableText"/>
            </w:pPr>
            <w:r>
              <w:t xml:space="preserve">α = 0.565625 + 0.0252194 t</w:t>
            </w:r>
          </w:p>
        </w:tc>
        <w:tc>
          <w:tcPr>
            <w:tcW w:w="2070" w:type="dxa"/>
          </w:tcPr>
          <w:p>
            <w:pPr>
              <w:pStyle w:val="TableText"/>
            </w:pPr>
            <w:r>
              <w:t xml:space="preserve">Fraction of incident power absorbed</w:t>
            </w:r>
          </w:p>
        </w:tc>
        <w:tc>
          <w:tcPr>
            <w:tcW w:w="900" w:type="dxa"/>
          </w:tcPr>
          <w:p>
            <w:pPr>
              <w:pStyle w:val="TableText"/>
              <w:jc w:val="center"/>
            </w:pPr>
            <w:r>
              <w:t xml:space="preserve">0.490</w:t>
            </w:r>
          </w:p>
        </w:tc>
      </w:tr>
      <w:tr>
        <w:trPr>
          <w:cantSplit/>
        </w:trPr>
        <w:tc>
          <w:tcPr>
            <w:tcW w:w="1530" w:type="dxa"/>
          </w:tcPr>
          <w:p>
            <w:pPr>
              <w:pStyle w:val="TableText"/>
            </w:pPr>
            <w:r>
              <w:t xml:space="preserve">Deposition depth</w:t>
            </w:r>
          </w:p>
        </w:tc>
        <w:tc>
          <w:tcPr>
            <w:tcW w:w="900" w:type="dxa"/>
          </w:tcPr>
          <w:p>
            <w:pPr>
              <w:pStyle w:val="TableText"/>
            </w:pPr>
            <w:r>
              <w:t xml:space="preserve">δ(t)</w:t>
            </w:r>
          </w:p>
        </w:tc>
        <w:tc>
          <w:tcPr>
            <w:tcW w:w="1080" w:type="dxa"/>
          </w:tcPr>
          <w:p>
            <w:pPr>
              <w:pStyle w:val="TableText"/>
              <w:jc w:val="center"/>
            </w:pPr>
            <w:r>
              <w:t xml:space="preserve">0.0517–0.0983</w:t>
            </w:r>
          </w:p>
        </w:tc>
        <w:tc>
          <w:tcPr>
            <w:tcW w:w="630" w:type="dxa"/>
          </w:tcPr>
          <w:p>
            <w:pPr>
              <w:pStyle w:val="TableText"/>
              <w:jc w:val="center"/>
            </w:pPr>
            <w:r>
              <w:t xml:space="preserve">mm</w:t>
            </w:r>
          </w:p>
        </w:tc>
        <w:tc>
          <w:tcPr>
            <w:tcW w:w="1890" w:type="dxa"/>
          </w:tcPr>
          <w:p>
            <w:pPr>
              <w:pStyle w:val="TableText"/>
            </w:pPr>
            <w:r>
              <w:t xml:space="preserve">δ = 0.075000 − 0.00776201 t</w:t>
            </w:r>
          </w:p>
        </w:tc>
        <w:tc>
          <w:tcPr>
            <w:tcW w:w="2070" w:type="dxa"/>
          </w:tcPr>
          <w:p>
            <w:pPr>
              <w:pStyle w:val="TableText"/>
            </w:pPr>
            <w:r>
              <w:t xml:space="preserve">Decay length of the exponential depth profile</w:t>
            </w:r>
          </w:p>
        </w:tc>
        <w:tc>
          <w:tcPr>
            <w:tcW w:w="900" w:type="dxa"/>
          </w:tcPr>
          <w:p>
            <w:pPr>
              <w:pStyle w:val="TableText"/>
              <w:jc w:val="center"/>
            </w:pPr>
            <w:r>
              <w:t xml:space="preserve">0.0983</w:t>
            </w:r>
          </w:p>
        </w:tc>
      </w:tr>
      <w:tr>
        <w:trPr>
          <w:cantSplit/>
        </w:trPr>
        <w:tc>
          <w:tcPr>
            <w:tcW w:w="1530" w:type="dxa"/>
          </w:tcPr>
          <w:p>
            <w:pPr>
              <w:pStyle w:val="TableText"/>
            </w:pPr>
            <w:r>
              <w:t xml:space="preserve">Liquid conductivity factor</w:t>
            </w:r>
          </w:p>
        </w:tc>
        <w:tc>
          <w:tcPr>
            <w:tcW w:w="900" w:type="dxa"/>
          </w:tcPr>
          <w:p>
            <w:pPr>
              <w:pStyle w:val="TableText"/>
            </w:pPr>
            <w:r>
              <w:t xml:space="preserve">c</w:t>
            </w:r>
            <w:r>
              <w:rPr>
                <w:vertAlign w:val="subscript"/>
              </w:rPr>
              <w:t xml:space="preserve">k</w:t>
            </w:r>
          </w:p>
        </w:tc>
        <w:tc>
          <w:tcPr>
            <w:tcW w:w="1080" w:type="dxa"/>
          </w:tcPr>
          <w:p>
            <w:pPr>
              <w:pStyle w:val="TableText"/>
              <w:jc w:val="center"/>
            </w:pPr>
            <w:r>
              <w:t xml:space="preserve">[1.5, 2.5]</w:t>
            </w:r>
          </w:p>
        </w:tc>
        <w:tc>
          <w:tcPr>
            <w:tcW w:w="630" w:type="dxa"/>
          </w:tcPr>
          <w:p>
            <w:pPr>
              <w:pStyle w:val="TableText"/>
              <w:jc w:val="center"/>
            </w:pPr>
            <w:r>
              <w:t xml:space="preserve">–</w:t>
            </w:r>
          </w:p>
        </w:tc>
        <w:tc>
          <w:tcPr>
            <w:tcW w:w="1890" w:type="dxa"/>
          </w:tcPr>
          <w:p>
            <w:pPr>
              <w:pStyle w:val="TableText"/>
            </w:pPr>
            <w:r>
              <w:t xml:space="preserve">calibration coordinate</w:t>
            </w:r>
          </w:p>
        </w:tc>
        <w:tc>
          <w:tcPr>
            <w:tcW w:w="2070" w:type="dxa"/>
          </w:tcPr>
          <w:p>
            <w:pPr>
              <w:pStyle w:val="TableText"/>
            </w:pPr>
            <w:r>
              <w:t xml:space="preserve">Multiplies the liquid conductivity (unresolved melt flow)</w:t>
            </w:r>
          </w:p>
        </w:tc>
        <w:tc>
          <w:tcPr>
            <w:tcW w:w="900" w:type="dxa"/>
          </w:tcPr>
          <w:p>
            <w:pPr>
              <w:pStyle w:val="TableText"/>
              <w:jc w:val="center"/>
            </w:pPr>
            <w:r>
              <w:t xml:space="preserve">2.418</w:t>
            </w:r>
          </w:p>
        </w:tc>
      </w:tr>
      <w:tr>
        <w:trPr>
          <w:cantSplit/>
        </w:trPr>
        <w:tc>
          <w:tcPr>
            <w:tcW w:w="1530" w:type="dxa"/>
          </w:tcPr>
          <w:p>
            <w:pPr>
              <w:pStyle w:val="TableText"/>
            </w:pPr>
            <w:r>
              <w:t xml:space="preserve">Directional transport</w:t>
            </w:r>
          </w:p>
        </w:tc>
        <w:tc>
          <w:tcPr>
            <w:tcW w:w="900" w:type="dxa"/>
          </w:tcPr>
          <w:p>
            <w:pPr>
              <w:pStyle w:val="TableText"/>
            </w:pPr>
            <w:r>
              <w:t xml:space="preserve">η</w:t>
            </w:r>
          </w:p>
        </w:tc>
        <w:tc>
          <w:tcPr>
            <w:tcW w:w="1080" w:type="dxa"/>
          </w:tcPr>
          <w:p>
            <w:pPr>
              <w:pStyle w:val="TableText"/>
              <w:jc w:val="center"/>
            </w:pPr>
            <w:r>
              <w:t xml:space="preserve">[0, 1]</w:t>
            </w:r>
          </w:p>
        </w:tc>
        <w:tc>
          <w:tcPr>
            <w:tcW w:w="630" w:type="dxa"/>
          </w:tcPr>
          <w:p>
            <w:pPr>
              <w:pStyle w:val="TableText"/>
              <w:jc w:val="center"/>
            </w:pPr>
            <w:r>
              <w:t xml:space="preserve">–</w:t>
            </w:r>
          </w:p>
        </w:tc>
        <w:tc>
          <w:tcPr>
            <w:tcW w:w="1890" w:type="dxa"/>
          </w:tcPr>
          <w:p>
            <w:pPr>
              <w:pStyle w:val="TableText"/>
            </w:pPr>
            <w:r>
              <w:t xml:space="preserve">calibration coordinate</w:t>
            </w:r>
          </w:p>
        </w:tc>
        <w:tc>
          <w:tcPr>
            <w:tcW w:w="2070" w:type="dxa"/>
          </w:tcPr>
          <w:p>
            <w:pPr>
              <w:pStyle w:val="TableText"/>
            </w:pPr>
            <w:r>
              <w:t xml:space="preserve">Extra liquid conductivity along the local scan direction, × (1 + η)</w:t>
            </w:r>
          </w:p>
        </w:tc>
        <w:tc>
          <w:tcPr>
            <w:tcW w:w="900" w:type="dxa"/>
          </w:tcPr>
          <w:p>
            <w:pPr>
              <w:pStyle w:val="TableText"/>
              <w:jc w:val="center"/>
            </w:pPr>
            <w:r>
              <w:t xml:space="preserve">0 (lower bound)</w:t>
            </w:r>
          </w:p>
        </w:tc>
      </w:tr>
      <w:tr>
        <w:trPr>
          <w:cantSplit/>
        </w:trPr>
        <w:tc>
          <w:tcPr>
            <w:tcW w:w="1530" w:type="dxa"/>
          </w:tcPr>
          <w:p>
            <w:pPr>
              <w:pStyle w:val="TableText"/>
            </w:pPr>
            <w:r>
              <w:t xml:space="preserve">Stability guard</w:t>
            </w:r>
          </w:p>
        </w:tc>
        <w:tc>
          <w:tcPr>
            <w:tcW w:w="900" w:type="dxa"/>
          </w:tcPr>
          <w:p>
            <w:pPr>
              <w:pStyle w:val="TableText"/>
            </w:pPr>
            <w:r>
              <w:t xml:space="preserve">Δt / Δt</w:t>
            </w:r>
            <w:r>
              <w:rPr>
                <w:vertAlign w:val="subscript"/>
              </w:rPr>
              <w:t xml:space="preserve">safe</w:t>
            </w:r>
          </w:p>
        </w:tc>
        <w:tc>
          <w:tcPr>
            <w:tcW w:w="1080" w:type="dxa"/>
          </w:tcPr>
          <w:p>
            <w:pPr>
              <w:pStyle w:val="TableText"/>
              <w:jc w:val="center"/>
            </w:pPr>
            <w:r>
              <w:t xml:space="preserve">≤ 0.95</w:t>
            </w:r>
          </w:p>
        </w:tc>
        <w:tc>
          <w:tcPr>
            <w:tcW w:w="630" w:type="dxa"/>
          </w:tcPr>
          <w:p>
            <w:pPr>
              <w:pStyle w:val="TableText"/>
              <w:jc w:val="center"/>
            </w:pPr>
            <w:r>
              <w:t xml:space="preserve">–</w:t>
            </w:r>
          </w:p>
        </w:tc>
        <w:tc>
          <w:tcPr>
            <w:tcW w:w="1890" w:type="dxa"/>
          </w:tcPr>
          <w:p>
            <w:pPr>
              <w:pStyle w:val="TableText"/>
            </w:pPr>
            <w:r>
              <w:t xml:space="preserve">constraint on (c</w:t>
            </w:r>
            <w:r>
              <w:rPr>
                <w:vertAlign w:val="subscript"/>
              </w:rPr>
              <w:t xml:space="preserve">k</w:t>
            </w:r>
            <w:r>
              <w:t xml:space="preserve">, η)</w:t>
            </w:r>
          </w:p>
        </w:tc>
        <w:tc>
          <w:tcPr>
            <w:tcW w:w="2070" w:type="dxa"/>
          </w:tcPr>
          <w:p>
            <w:pPr>
              <w:pStyle w:val="TableText"/>
            </w:pPr>
            <w:r>
              <w:t xml:space="preserve">Rejects numerically marginal states before any run</w:t>
            </w:r>
          </w:p>
        </w:tc>
        <w:tc>
          <w:tcPr>
            <w:tcW w:w="900" w:type="dxa"/>
          </w:tcPr>
          <w:p>
            <w:pPr>
              <w:pStyle w:val="TableText"/>
              <w:jc w:val="center"/>
            </w:pPr>
            <w:r>
              <w:t xml:space="preserve">0.724</w:t>
            </w:r>
          </w:p>
        </w:tc>
      </w:tr>
    </w:tbl>
    <w:p>
      <w:pPr>
        <w:pStyle w:val="TableNote"/>
      </w:pPr>
      <w:r>
        <w:rPr>
          <w:i/>
        </w:rPr>
        <w:t xml:space="preserve">Note. </w:t>
      </w:r>
      <w:r>
        <w:t xml:space="preserve">Selected: Candidate 1, the calibrated state. Increasing t raises α and shortens δ. The boiling-regulator strength (b = 0.5) and all other quantities were fixed and are not calibration coordinates.</w:t>
      </w:r>
    </w:p>
    <w:p>
      <w:pPr>
        <w:pStyle w:val="Placement"/>
      </w:pPr>
      <w:r>
        <w:t xml:space="preserve">F5 · §3.4.4, end of the section (before §3.5)</w:t>
      </w:r>
    </w:p>
    <w:p>
      <w:pPr>
        <w:pStyle w:val="Figure"/>
      </w:pPr>
      <w:r>
        <w:drawing>
          <wp:inline distT="0" distB="0" distL="0" distR="0">
            <wp:extent cx="5041392" cy="4370832"/>
            <wp:docPr id="5" name="Figure 5"/>
            <wp:cNvGraphicFramePr>
              <a:graphicFrameLocks noChangeAspect="1"/>
            </wp:cNvGraphicFramePr>
            <a:graphic>
              <a:graphicData uri="http://schemas.openxmlformats.org/drawingml/2006/picture">
                <pic:pic>
                  <pic:nvPicPr>
                    <pic:cNvPr id="5" name="F5_workflow.png"/>
                    <pic:cNvPicPr/>
                  </pic:nvPicPr>
                  <pic:blipFill>
                    <a:blip r:embed="rIdImg5"/>
                    <a:stretch>
                      <a:fillRect/>
                    </a:stretch>
                  </pic:blipFill>
                  <pic:spPr>
                    <a:xfrm>
                      <a:off x="0" y="0"/>
                      <a:ext cx="5041392" cy="4370832"/>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5</w:t>
      </w:r>
      <w:r>
        <w:fldChar w:fldCharType="end"/>
      </w:r>
      <w:r>
        <w:t xml:space="preserve">. Calibration, data freeze and evaluation sequence.</w:t>
      </w:r>
      <w:r>
        <w:rPr>
          <w:b w:val="0"/>
          <w:bCs w:val="0"/>
        </w:rPr>
        <w:t xml:space="preserve"> Calibration-design and held-out coupons were separated by process condition before any fitting. The held-out coupons were not compared with the model until the selection freeze; the out-of-window calibration-design coupons had been examined during model development (dashed arrow). The calibration search combined a predefined design of anchor and Halton points with confirmation candidates proposed by a quadratic surrogate, and the candidate with the lowest measured objective was selected.</w:t>
      </w:r>
    </w:p>
    <w:p>
      <w:pPr>
        <w:pStyle w:val="Placement"/>
      </w:pPr>
      <w:r>
        <w:t xml:space="preserve">F6 · §4.1, first PLACEHOLDER</w:t>
      </w:r>
    </w:p>
    <w:p>
      <w:pPr>
        <w:pStyle w:val="Figure"/>
      </w:pPr>
      <w:r>
        <w:drawing>
          <wp:inline distT="0" distB="0" distL="0" distR="0">
            <wp:extent cx="5590032" cy="3712463"/>
            <wp:docPr id="6" name="Figure 6"/>
            <wp:cNvGraphicFramePr>
              <a:graphicFrameLocks noChangeAspect="1"/>
            </wp:cNvGraphicFramePr>
            <a:graphic>
              <a:graphicData uri="http://schemas.openxmlformats.org/drawingml/2006/picture">
                <pic:pic>
                  <pic:nvPicPr>
                    <pic:cNvPr id="6" name="F6_footprints_over_process_space.png"/>
                    <pic:cNvPicPr/>
                  </pic:nvPicPr>
                  <pic:blipFill>
                    <a:blip r:embed="rIdImg6"/>
                    <a:stretch>
                      <a:fillRect/>
                    </a:stretch>
                  </pic:blipFill>
                  <pic:spPr>
                    <a:xfrm>
                      <a:off x="0" y="0"/>
                      <a:ext cx="5590032" cy="3712463"/>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6</w:t>
      </w:r>
      <w:r>
        <w:fldChar w:fldCharType="end"/>
      </w:r>
      <w:r>
        <w:t xml:space="preserve">. Melt-pool footprints over process space.</w:t>
      </w:r>
      <w:r>
        <w:rPr>
          <w:b w:val="0"/>
          <w:bCs w:val="0"/>
        </w:rPr>
        <w:t xml:space="preserve"> Each pair of boxes sits at its process condition, with replicate coupons pooled. The orange outline is the camera's median melt-pool footprint and the blue box the calibrated model's, both drawn to one size scale with H horizontal and W vertical. The shaded band marks the calibration window and the thin lines are lines of constant volumetric energy density.</w:t>
      </w:r>
    </w:p>
    <w:p>
      <w:pPr>
        <w:pStyle w:val="Placement"/>
      </w:pPr>
      <w:r>
        <w:t xml:space="preserve">T7 · §4.1, second PLACEHOLDER</w:t>
      </w:r>
    </w:p>
    <w:p>
      <w:pPr>
        <w:pStyle w:val="TableTitle"/>
      </w:pPr>
      <w:r>
        <w:t xml:space="preserve">Table </w:t>
      </w:r>
      <w:r>
        <w:fldChar w:fldCharType="begin"/>
      </w:r>
      <w:r>
        <w:instrText xml:space="preserve"> SEQ Table \* ARABIC </w:instrText>
      </w:r>
      <w:r>
        <w:fldChar w:fldCharType="separate"/>
      </w:r>
      <w:r>
        <w:t>7</w:t>
      </w:r>
      <w:r>
        <w:fldChar w:fldCharType="end"/>
      </w:r>
      <w:r>
        <w:t xml:space="preserve">. Repeatability of the July replicate conditions</w:t>
      </w:r>
    </w:p>
    <w:tbl>
      <w:tblPr>
        <w:tblW w:w="9000" w:type="dxa"/>
        <w:tblLayout w:type="fixed"/>
        <w:tblBorders>
          <w:top w:val="single" w:sz="8" w:space="0" w:color="000000"/>
          <w:bottom w:val="single" w:sz="8" w:space="0" w:color="000000"/>
        </w:tblBorders>
        <w:tblCellMar>
          <w:left w:w="70" w:type="dxa"/>
          <w:right w:w="70" w:type="dxa"/>
        </w:tblCellMar>
        <w:tblLook w:val="0000" w:firstRow="0" w:lastRow="0" w:firstColumn="0" w:lastColumn="0" w:noHBand="1" w:noVBand="1"/>
      </w:tblPr>
      <w:tblGrid>
        <w:gridCol w:w="1391"/>
        <w:gridCol w:w="742"/>
        <w:gridCol w:w="927"/>
        <w:gridCol w:w="835"/>
        <w:gridCol w:w="835"/>
        <w:gridCol w:w="1298"/>
        <w:gridCol w:w="835"/>
        <w:gridCol w:w="835"/>
        <w:gridCol w:w="1298"/>
      </w:tblGrid>
      <w:tr>
        <w:trPr>
          <w:tblHeader/>
          <w:cantSplit/>
        </w:trPr>
        <w:tc>
          <w:tcPr>
            <w:tcW w:w="1391" w:type="dxa"/>
            <w:tcBorders>
              <w:bottom w:val="single" w:sz="6" w:space="0" w:color="000000"/>
            </w:tcBorders>
            <w:vAlign w:val="bottom"/>
          </w:tcPr>
          <w:p>
            <w:pPr>
              <w:pStyle w:val="TableText"/>
            </w:pPr>
            <w:r>
              <w:rPr>
                <w:b/>
              </w:rPr>
              <w:t xml:space="preserve">Condition</w:t>
            </w:r>
          </w:p>
        </w:tc>
        <w:tc>
          <w:tcPr>
            <w:tcW w:w="742" w:type="dxa"/>
            <w:tcBorders>
              <w:bottom w:val="single" w:sz="6" w:space="0" w:color="000000"/>
            </w:tcBorders>
            <w:vAlign w:val="bottom"/>
          </w:tcPr>
          <w:p>
            <w:pPr>
              <w:pStyle w:val="TableText"/>
              <w:jc w:val="center"/>
            </w:pPr>
            <w:r>
              <w:rPr>
                <w:b/>
              </w:rPr>
              <w:t xml:space="preserve">VED (J/mm³)</w:t>
            </w:r>
          </w:p>
        </w:tc>
        <w:tc>
          <w:tcPr>
            <w:tcW w:w="927" w:type="dxa"/>
            <w:tcBorders>
              <w:bottom w:val="single" w:sz="6" w:space="0" w:color="000000"/>
            </w:tcBorders>
            <w:vAlign w:val="bottom"/>
          </w:tcPr>
          <w:p>
            <w:pPr>
              <w:pStyle w:val="TableText"/>
            </w:pPr>
            <w:r>
              <w:rPr>
                <w:b/>
              </w:rPr>
              <w:t xml:space="preserve">Role</w:t>
            </w:r>
          </w:p>
        </w:tc>
        <w:tc>
          <w:tcPr>
            <w:tcW w:w="835" w:type="dxa"/>
            <w:tcBorders>
              <w:bottom w:val="single" w:sz="6" w:space="0" w:color="000000"/>
            </w:tcBorders>
            <w:vAlign w:val="bottom"/>
          </w:tcPr>
          <w:p>
            <w:pPr>
              <w:pStyle w:val="TableText"/>
              <w:jc w:val="center"/>
            </w:pPr>
            <w:r>
              <w:rPr>
                <w:b/>
              </w:rPr>
              <w:t xml:space="preserve">H, Jul 30 (px)</w:t>
            </w:r>
          </w:p>
        </w:tc>
        <w:tc>
          <w:tcPr>
            <w:tcW w:w="835" w:type="dxa"/>
            <w:tcBorders>
              <w:bottom w:val="single" w:sz="6" w:space="0" w:color="000000"/>
            </w:tcBorders>
            <w:vAlign w:val="bottom"/>
          </w:tcPr>
          <w:p>
            <w:pPr>
              <w:pStyle w:val="TableText"/>
              <w:jc w:val="center"/>
            </w:pPr>
            <w:r>
              <w:rPr>
                <w:b/>
              </w:rPr>
              <w:t xml:space="preserve">H, Jul 31 (px)</w:t>
            </w:r>
          </w:p>
        </w:tc>
        <w:tc>
          <w:tcPr>
            <w:tcW w:w="1298" w:type="dxa"/>
            <w:tcBorders>
              <w:bottom w:val="single" w:sz="6" w:space="0" w:color="000000"/>
            </w:tcBorders>
            <w:vAlign w:val="bottom"/>
          </w:tcPr>
          <w:p>
            <w:pPr>
              <w:pStyle w:val="TableText"/>
              <w:jc w:val="center"/>
            </w:pPr>
            <w:r>
              <w:rPr>
                <w:b/>
              </w:rPr>
              <w:t xml:space="preserve">ΔH (%) [95% CI]</w:t>
            </w:r>
          </w:p>
        </w:tc>
        <w:tc>
          <w:tcPr>
            <w:tcW w:w="835" w:type="dxa"/>
            <w:tcBorders>
              <w:bottom w:val="single" w:sz="6" w:space="0" w:color="000000"/>
            </w:tcBorders>
            <w:vAlign w:val="bottom"/>
          </w:tcPr>
          <w:p>
            <w:pPr>
              <w:pStyle w:val="TableText"/>
              <w:jc w:val="center"/>
            </w:pPr>
            <w:r>
              <w:rPr>
                <w:b/>
              </w:rPr>
              <w:t xml:space="preserve">W, Jul 30 (px)</w:t>
            </w:r>
          </w:p>
        </w:tc>
        <w:tc>
          <w:tcPr>
            <w:tcW w:w="835" w:type="dxa"/>
            <w:tcBorders>
              <w:bottom w:val="single" w:sz="6" w:space="0" w:color="000000"/>
            </w:tcBorders>
            <w:vAlign w:val="bottom"/>
          </w:tcPr>
          <w:p>
            <w:pPr>
              <w:pStyle w:val="TableText"/>
              <w:jc w:val="center"/>
            </w:pPr>
            <w:r>
              <w:rPr>
                <w:b/>
              </w:rPr>
              <w:t xml:space="preserve">W, Jul 31 (px)</w:t>
            </w:r>
          </w:p>
        </w:tc>
        <w:tc>
          <w:tcPr>
            <w:tcW w:w="1298" w:type="dxa"/>
            <w:tcBorders>
              <w:bottom w:val="single" w:sz="6" w:space="0" w:color="000000"/>
            </w:tcBorders>
            <w:vAlign w:val="bottom"/>
          </w:tcPr>
          <w:p>
            <w:pPr>
              <w:pStyle w:val="TableText"/>
              <w:jc w:val="center"/>
            </w:pPr>
            <w:r>
              <w:rPr>
                <w:b/>
              </w:rPr>
              <w:t xml:space="preserve">ΔW (%) [95% CI]</w:t>
            </w:r>
          </w:p>
        </w:tc>
      </w:tr>
      <w:tr>
        <w:trPr>
          <w:cantSplit/>
        </w:trPr>
        <w:tc>
          <w:tcPr>
            <w:tcW w:w="1391" w:type="dxa"/>
          </w:tcPr>
          <w:p>
            <w:pPr>
              <w:pStyle w:val="TableText"/>
            </w:pPr>
            <w:r>
              <w:t xml:space="preserve">140 W, 850 mm/s</w:t>
            </w:r>
          </w:p>
        </w:tc>
        <w:tc>
          <w:tcPr>
            <w:tcW w:w="742" w:type="dxa"/>
          </w:tcPr>
          <w:p>
            <w:pPr>
              <w:pStyle w:val="TableText"/>
              <w:jc w:val="center"/>
            </w:pPr>
            <w:r>
              <w:t xml:space="preserve">68.6</w:t>
            </w:r>
          </w:p>
        </w:tc>
        <w:tc>
          <w:tcPr>
            <w:tcW w:w="927" w:type="dxa"/>
          </w:tcPr>
          <w:p>
            <w:pPr>
              <w:pStyle w:val="TableText"/>
            </w:pPr>
            <w:r>
              <w:t xml:space="preserve">Calibration</w:t>
            </w:r>
          </w:p>
        </w:tc>
        <w:tc>
          <w:tcPr>
            <w:tcW w:w="835" w:type="dxa"/>
          </w:tcPr>
          <w:p>
            <w:pPr>
              <w:pStyle w:val="TableText"/>
              <w:jc w:val="center"/>
            </w:pPr>
            <w:r>
              <w:t xml:space="preserve">10.29</w:t>
            </w:r>
          </w:p>
        </w:tc>
        <w:tc>
          <w:tcPr>
            <w:tcW w:w="835" w:type="dxa"/>
          </w:tcPr>
          <w:p>
            <w:pPr>
              <w:pStyle w:val="TableText"/>
              <w:jc w:val="center"/>
            </w:pPr>
            <w:r>
              <w:t xml:space="preserve">10.24</w:t>
            </w:r>
          </w:p>
        </w:tc>
        <w:tc>
          <w:tcPr>
            <w:tcW w:w="1298" w:type="dxa"/>
          </w:tcPr>
          <w:p>
            <w:pPr>
              <w:pStyle w:val="TableText"/>
              <w:jc w:val="center"/>
            </w:pPr>
            <w:r>
              <w:t xml:space="preserve">−0.5 [−4.1, +3.8]</w:t>
            </w:r>
          </w:p>
        </w:tc>
        <w:tc>
          <w:tcPr>
            <w:tcW w:w="835" w:type="dxa"/>
          </w:tcPr>
          <w:p>
            <w:pPr>
              <w:pStyle w:val="TableText"/>
              <w:jc w:val="center"/>
            </w:pPr>
            <w:r>
              <w:t xml:space="preserve">8.79</w:t>
            </w:r>
          </w:p>
        </w:tc>
        <w:tc>
          <w:tcPr>
            <w:tcW w:w="835" w:type="dxa"/>
          </w:tcPr>
          <w:p>
            <w:pPr>
              <w:pStyle w:val="TableText"/>
              <w:jc w:val="center"/>
            </w:pPr>
            <w:r>
              <w:t xml:space="preserve">8.65</w:t>
            </w:r>
          </w:p>
        </w:tc>
        <w:tc>
          <w:tcPr>
            <w:tcW w:w="1298" w:type="dxa"/>
          </w:tcPr>
          <w:p>
            <w:pPr>
              <w:pStyle w:val="TableText"/>
              <w:jc w:val="center"/>
            </w:pPr>
            <w:r>
              <w:t xml:space="preserve">−1.5 [−4.7, +2.1]</w:t>
            </w:r>
          </w:p>
        </w:tc>
      </w:tr>
      <w:tr>
        <w:trPr>
          <w:cantSplit/>
        </w:trPr>
        <w:tc>
          <w:tcPr>
            <w:tcW w:w="1391" w:type="dxa"/>
          </w:tcPr>
          <w:p>
            <w:pPr>
              <w:pStyle w:val="TableText"/>
            </w:pPr>
            <w:r>
              <w:t xml:space="preserve">150 W, 900 mm/s</w:t>
            </w:r>
          </w:p>
        </w:tc>
        <w:tc>
          <w:tcPr>
            <w:tcW w:w="742" w:type="dxa"/>
          </w:tcPr>
          <w:p>
            <w:pPr>
              <w:pStyle w:val="TableText"/>
              <w:jc w:val="center"/>
            </w:pPr>
            <w:r>
              <w:t xml:space="preserve">69.4</w:t>
            </w:r>
          </w:p>
        </w:tc>
        <w:tc>
          <w:tcPr>
            <w:tcW w:w="927" w:type="dxa"/>
          </w:tcPr>
          <w:p>
            <w:pPr>
              <w:pStyle w:val="TableText"/>
            </w:pPr>
            <w:r>
              <w:t xml:space="preserve">Held out</w:t>
            </w:r>
          </w:p>
        </w:tc>
        <w:tc>
          <w:tcPr>
            <w:tcW w:w="835" w:type="dxa"/>
          </w:tcPr>
          <w:p>
            <w:pPr>
              <w:pStyle w:val="TableText"/>
              <w:jc w:val="center"/>
            </w:pPr>
            <w:r>
              <w:t xml:space="preserve">10.63</w:t>
            </w:r>
          </w:p>
        </w:tc>
        <w:tc>
          <w:tcPr>
            <w:tcW w:w="835" w:type="dxa"/>
          </w:tcPr>
          <w:p>
            <w:pPr>
              <w:pStyle w:val="TableText"/>
              <w:jc w:val="center"/>
            </w:pPr>
            <w:r>
              <w:t xml:space="preserve">10.59</w:t>
            </w:r>
          </w:p>
        </w:tc>
        <w:tc>
          <w:tcPr>
            <w:tcW w:w="1298" w:type="dxa"/>
          </w:tcPr>
          <w:p>
            <w:pPr>
              <w:pStyle w:val="TableText"/>
              <w:jc w:val="center"/>
            </w:pPr>
            <w:r>
              <w:t xml:space="preserve">−0.4 [−5.2, +5.0]</w:t>
            </w:r>
          </w:p>
        </w:tc>
        <w:tc>
          <w:tcPr>
            <w:tcW w:w="835" w:type="dxa"/>
          </w:tcPr>
          <w:p>
            <w:pPr>
              <w:pStyle w:val="TableText"/>
              <w:jc w:val="center"/>
            </w:pPr>
            <w:r>
              <w:t xml:space="preserve">8.87</w:t>
            </w:r>
          </w:p>
        </w:tc>
        <w:tc>
          <w:tcPr>
            <w:tcW w:w="835" w:type="dxa"/>
          </w:tcPr>
          <w:p>
            <w:pPr>
              <w:pStyle w:val="TableText"/>
              <w:jc w:val="center"/>
            </w:pPr>
            <w:r>
              <w:t xml:space="preserve">8.80</w:t>
            </w:r>
          </w:p>
        </w:tc>
        <w:tc>
          <w:tcPr>
            <w:tcW w:w="1298" w:type="dxa"/>
          </w:tcPr>
          <w:p>
            <w:pPr>
              <w:pStyle w:val="TableText"/>
              <w:jc w:val="center"/>
            </w:pPr>
            <w:r>
              <w:t xml:space="preserve">−0.8 [−5.0, +4.9]</w:t>
            </w:r>
          </w:p>
        </w:tc>
      </w:tr>
      <w:tr>
        <w:trPr>
          <w:cantSplit/>
        </w:trPr>
        <w:tc>
          <w:tcPr>
            <w:tcW w:w="1391" w:type="dxa"/>
          </w:tcPr>
          <w:p>
            <w:pPr>
              <w:pStyle w:val="TableText"/>
            </w:pPr>
            <w:r>
              <w:t xml:space="preserve">160 W, 950 mm/s</w:t>
            </w:r>
          </w:p>
        </w:tc>
        <w:tc>
          <w:tcPr>
            <w:tcW w:w="742" w:type="dxa"/>
          </w:tcPr>
          <w:p>
            <w:pPr>
              <w:pStyle w:val="TableText"/>
              <w:jc w:val="center"/>
            </w:pPr>
            <w:r>
              <w:t xml:space="preserve">70.2</w:t>
            </w:r>
          </w:p>
        </w:tc>
        <w:tc>
          <w:tcPr>
            <w:tcW w:w="927" w:type="dxa"/>
          </w:tcPr>
          <w:p>
            <w:pPr>
              <w:pStyle w:val="TableText"/>
            </w:pPr>
            <w:r>
              <w:t xml:space="preserve">Calibration</w:t>
            </w:r>
          </w:p>
        </w:tc>
        <w:tc>
          <w:tcPr>
            <w:tcW w:w="835" w:type="dxa"/>
          </w:tcPr>
          <w:p>
            <w:pPr>
              <w:pStyle w:val="TableText"/>
              <w:jc w:val="center"/>
            </w:pPr>
            <w:r>
              <w:t xml:space="preserve">11.22</w:t>
            </w:r>
          </w:p>
        </w:tc>
        <w:tc>
          <w:tcPr>
            <w:tcW w:w="835" w:type="dxa"/>
          </w:tcPr>
          <w:p>
            <w:pPr>
              <w:pStyle w:val="TableText"/>
              <w:jc w:val="center"/>
            </w:pPr>
            <w:r>
              <w:t xml:space="preserve">11.23</w:t>
            </w:r>
          </w:p>
        </w:tc>
        <w:tc>
          <w:tcPr>
            <w:tcW w:w="1298" w:type="dxa"/>
          </w:tcPr>
          <w:p>
            <w:pPr>
              <w:pStyle w:val="TableText"/>
              <w:jc w:val="center"/>
            </w:pPr>
            <w:r>
              <w:t xml:space="preserve">+0.1 [−3.1, +4.4]</w:t>
            </w:r>
          </w:p>
        </w:tc>
        <w:tc>
          <w:tcPr>
            <w:tcW w:w="835" w:type="dxa"/>
          </w:tcPr>
          <w:p>
            <w:pPr>
              <w:pStyle w:val="TableText"/>
              <w:jc w:val="center"/>
            </w:pPr>
            <w:r>
              <w:t xml:space="preserve">9.00</w:t>
            </w:r>
          </w:p>
        </w:tc>
        <w:tc>
          <w:tcPr>
            <w:tcW w:w="835" w:type="dxa"/>
          </w:tcPr>
          <w:p>
            <w:pPr>
              <w:pStyle w:val="TableText"/>
              <w:jc w:val="center"/>
            </w:pPr>
            <w:r>
              <w:t xml:space="preserve">9.00</w:t>
            </w:r>
          </w:p>
        </w:tc>
        <w:tc>
          <w:tcPr>
            <w:tcW w:w="1298" w:type="dxa"/>
          </w:tcPr>
          <w:p>
            <w:pPr>
              <w:pStyle w:val="TableText"/>
              <w:jc w:val="center"/>
            </w:pPr>
            <w:r>
              <w:t xml:space="preserve">+0.0 [−1.1, +1.7]</w:t>
            </w:r>
          </w:p>
        </w:tc>
      </w:tr>
      <w:tr>
        <w:trPr>
          <w:cantSplit/>
        </w:trPr>
        <w:tc>
          <w:tcPr>
            <w:tcW w:w="1391" w:type="dxa"/>
          </w:tcPr>
          <w:p>
            <w:pPr>
              <w:pStyle w:val="TableText"/>
            </w:pPr>
            <w:r>
              <w:t xml:space="preserve">170 W, 1000 mm/s</w:t>
            </w:r>
          </w:p>
        </w:tc>
        <w:tc>
          <w:tcPr>
            <w:tcW w:w="742" w:type="dxa"/>
          </w:tcPr>
          <w:p>
            <w:pPr>
              <w:pStyle w:val="TableText"/>
              <w:jc w:val="center"/>
            </w:pPr>
            <w:r>
              <w:t xml:space="preserve">70.8</w:t>
            </w:r>
          </w:p>
        </w:tc>
        <w:tc>
          <w:tcPr>
            <w:tcW w:w="927" w:type="dxa"/>
          </w:tcPr>
          <w:p>
            <w:pPr>
              <w:pStyle w:val="TableText"/>
            </w:pPr>
            <w:r>
              <w:t xml:space="preserve">Held out</w:t>
            </w:r>
          </w:p>
        </w:tc>
        <w:tc>
          <w:tcPr>
            <w:tcW w:w="835" w:type="dxa"/>
          </w:tcPr>
          <w:p>
            <w:pPr>
              <w:pStyle w:val="TableText"/>
              <w:jc w:val="center"/>
            </w:pPr>
            <w:r>
              <w:t xml:space="preserve">12.20</w:t>
            </w:r>
          </w:p>
        </w:tc>
        <w:tc>
          <w:tcPr>
            <w:tcW w:w="835" w:type="dxa"/>
          </w:tcPr>
          <w:p>
            <w:pPr>
              <w:pStyle w:val="TableText"/>
              <w:jc w:val="center"/>
            </w:pPr>
            <w:r>
              <w:t xml:space="preserve">12.28</w:t>
            </w:r>
          </w:p>
        </w:tc>
        <w:tc>
          <w:tcPr>
            <w:tcW w:w="1298" w:type="dxa"/>
          </w:tcPr>
          <w:p>
            <w:pPr>
              <w:pStyle w:val="TableText"/>
              <w:jc w:val="center"/>
            </w:pPr>
            <w:r>
              <w:t xml:space="preserve">+0.7 [−3.9, +6.0]</w:t>
            </w:r>
          </w:p>
        </w:tc>
        <w:tc>
          <w:tcPr>
            <w:tcW w:w="835" w:type="dxa"/>
          </w:tcPr>
          <w:p>
            <w:pPr>
              <w:pStyle w:val="TableText"/>
              <w:jc w:val="center"/>
            </w:pPr>
            <w:r>
              <w:t xml:space="preserve">9.14</w:t>
            </w:r>
          </w:p>
        </w:tc>
        <w:tc>
          <w:tcPr>
            <w:tcW w:w="835" w:type="dxa"/>
          </w:tcPr>
          <w:p>
            <w:pPr>
              <w:pStyle w:val="TableText"/>
              <w:jc w:val="center"/>
            </w:pPr>
            <w:r>
              <w:t xml:space="preserve">9.09</w:t>
            </w:r>
          </w:p>
        </w:tc>
        <w:tc>
          <w:tcPr>
            <w:tcW w:w="1298" w:type="dxa"/>
          </w:tcPr>
          <w:p>
            <w:pPr>
              <w:pStyle w:val="TableText"/>
              <w:jc w:val="center"/>
            </w:pPr>
            <w:r>
              <w:t xml:space="preserve">−0.5 [−3.0, +1.8]</w:t>
            </w:r>
          </w:p>
        </w:tc>
      </w:tr>
      <w:tr>
        <w:trPr>
          <w:cantSplit/>
        </w:trPr>
        <w:tc>
          <w:tcPr>
            <w:tcW w:w="1391" w:type="dxa"/>
          </w:tcPr>
          <w:p>
            <w:pPr>
              <w:pStyle w:val="TableText"/>
            </w:pPr>
            <w:r>
              <w:t xml:space="preserve">180 W, 1050 mm/s</w:t>
            </w:r>
          </w:p>
        </w:tc>
        <w:tc>
          <w:tcPr>
            <w:tcW w:w="742" w:type="dxa"/>
          </w:tcPr>
          <w:p>
            <w:pPr>
              <w:pStyle w:val="TableText"/>
              <w:jc w:val="center"/>
            </w:pPr>
            <w:r>
              <w:t xml:space="preserve">71.4</w:t>
            </w:r>
          </w:p>
        </w:tc>
        <w:tc>
          <w:tcPr>
            <w:tcW w:w="927" w:type="dxa"/>
          </w:tcPr>
          <w:p>
            <w:pPr>
              <w:pStyle w:val="TableText"/>
            </w:pPr>
            <w:r>
              <w:t xml:space="preserve">Calibration</w:t>
            </w:r>
          </w:p>
        </w:tc>
        <w:tc>
          <w:tcPr>
            <w:tcW w:w="835" w:type="dxa"/>
          </w:tcPr>
          <w:p>
            <w:pPr>
              <w:pStyle w:val="TableText"/>
              <w:jc w:val="center"/>
            </w:pPr>
            <w:r>
              <w:t xml:space="preserve">12.63</w:t>
            </w:r>
          </w:p>
        </w:tc>
        <w:tc>
          <w:tcPr>
            <w:tcW w:w="835" w:type="dxa"/>
          </w:tcPr>
          <w:p>
            <w:pPr>
              <w:pStyle w:val="TableText"/>
              <w:jc w:val="center"/>
            </w:pPr>
            <w:r>
              <w:t xml:space="preserve">12.56</w:t>
            </w:r>
          </w:p>
        </w:tc>
        <w:tc>
          <w:tcPr>
            <w:tcW w:w="1298" w:type="dxa"/>
          </w:tcPr>
          <w:p>
            <w:pPr>
              <w:pStyle w:val="TableText"/>
              <w:jc w:val="center"/>
            </w:pPr>
            <w:r>
              <w:t xml:space="preserve">−0.5 [−5.3, +4.0]</w:t>
            </w:r>
          </w:p>
        </w:tc>
        <w:tc>
          <w:tcPr>
            <w:tcW w:w="835" w:type="dxa"/>
          </w:tcPr>
          <w:p>
            <w:pPr>
              <w:pStyle w:val="TableText"/>
              <w:jc w:val="center"/>
            </w:pPr>
            <w:r>
              <w:t xml:space="preserve">9.19</w:t>
            </w:r>
          </w:p>
        </w:tc>
        <w:tc>
          <w:tcPr>
            <w:tcW w:w="835" w:type="dxa"/>
          </w:tcPr>
          <w:p>
            <w:pPr>
              <w:pStyle w:val="TableText"/>
              <w:jc w:val="center"/>
            </w:pPr>
            <w:r>
              <w:t xml:space="preserve">9.15</w:t>
            </w:r>
          </w:p>
        </w:tc>
        <w:tc>
          <w:tcPr>
            <w:tcW w:w="1298" w:type="dxa"/>
          </w:tcPr>
          <w:p>
            <w:pPr>
              <w:pStyle w:val="TableText"/>
              <w:jc w:val="center"/>
            </w:pPr>
            <w:r>
              <w:t xml:space="preserve">−0.5 [−3.6, +2.6]</w:t>
            </w:r>
          </w:p>
        </w:tc>
      </w:tr>
      <w:tr>
        <w:trPr>
          <w:cantSplit/>
        </w:trPr>
        <w:tc>
          <w:tcPr>
            <w:tcW w:w="1391" w:type="dxa"/>
          </w:tcPr>
          <w:p>
            <w:pPr>
              <w:pStyle w:val="TableText"/>
            </w:pPr>
            <w:r>
              <w:t xml:space="preserve">190 W, 1100 mm/s</w:t>
            </w:r>
          </w:p>
        </w:tc>
        <w:tc>
          <w:tcPr>
            <w:tcW w:w="742" w:type="dxa"/>
          </w:tcPr>
          <w:p>
            <w:pPr>
              <w:pStyle w:val="TableText"/>
              <w:jc w:val="center"/>
            </w:pPr>
            <w:r>
              <w:t xml:space="preserve">72.0</w:t>
            </w:r>
          </w:p>
        </w:tc>
        <w:tc>
          <w:tcPr>
            <w:tcW w:w="927" w:type="dxa"/>
          </w:tcPr>
          <w:p>
            <w:pPr>
              <w:pStyle w:val="TableText"/>
            </w:pPr>
            <w:r>
              <w:t xml:space="preserve">Calibration</w:t>
            </w:r>
          </w:p>
        </w:tc>
        <w:tc>
          <w:tcPr>
            <w:tcW w:w="835" w:type="dxa"/>
          </w:tcPr>
          <w:p>
            <w:pPr>
              <w:pStyle w:val="TableText"/>
              <w:jc w:val="center"/>
            </w:pPr>
            <w:r>
              <w:t xml:space="preserve">13.34</w:t>
            </w:r>
          </w:p>
        </w:tc>
        <w:tc>
          <w:tcPr>
            <w:tcW w:w="835" w:type="dxa"/>
          </w:tcPr>
          <w:p>
            <w:pPr>
              <w:pStyle w:val="TableText"/>
              <w:jc w:val="center"/>
            </w:pPr>
            <w:r>
              <w:t xml:space="preserve">13.44</w:t>
            </w:r>
          </w:p>
        </w:tc>
        <w:tc>
          <w:tcPr>
            <w:tcW w:w="1298" w:type="dxa"/>
          </w:tcPr>
          <w:p>
            <w:pPr>
              <w:pStyle w:val="TableText"/>
              <w:jc w:val="center"/>
            </w:pPr>
            <w:r>
              <w:t xml:space="preserve">+0.7 [−3.5, +4.4]</w:t>
            </w:r>
          </w:p>
        </w:tc>
        <w:tc>
          <w:tcPr>
            <w:tcW w:w="835" w:type="dxa"/>
          </w:tcPr>
          <w:p>
            <w:pPr>
              <w:pStyle w:val="TableText"/>
              <w:jc w:val="center"/>
            </w:pPr>
            <w:r>
              <w:t xml:space="preserve">9.37</w:t>
            </w:r>
          </w:p>
        </w:tc>
        <w:tc>
          <w:tcPr>
            <w:tcW w:w="835" w:type="dxa"/>
          </w:tcPr>
          <w:p>
            <w:pPr>
              <w:pStyle w:val="TableText"/>
              <w:jc w:val="center"/>
            </w:pPr>
            <w:r>
              <w:t xml:space="preserve">9.42</w:t>
            </w:r>
          </w:p>
        </w:tc>
        <w:tc>
          <w:tcPr>
            <w:tcW w:w="1298" w:type="dxa"/>
          </w:tcPr>
          <w:p>
            <w:pPr>
              <w:pStyle w:val="TableText"/>
              <w:jc w:val="center"/>
            </w:pPr>
            <w:r>
              <w:t xml:space="preserve">+0.6 [−4.7, +4.2]</w:t>
            </w:r>
          </w:p>
        </w:tc>
      </w:tr>
    </w:tbl>
    <w:p>
      <w:pPr>
        <w:pStyle w:val="TableNote"/>
      </w:pPr>
      <w:r>
        <w:rPr>
          <w:i/>
        </w:rPr>
        <w:t xml:space="preserve">Note. </w:t>
      </w:r>
      <w:r>
        <w:t xml:space="preserve">Camera coupon medians of the scored frames. Δ = 100 ln(Jul 31 / Jul 30); 95% intervals from 4,000 track-bootstrap resamples within each coupon. Mean |ΔH| = 0.5%, mean |ΔW| = 0.7%; no interval excludes zero.</w:t>
      </w:r>
    </w:p>
    <w:p>
      <w:pPr>
        <w:pStyle w:val="Placement"/>
      </w:pPr>
      <w:r>
        <w:t xml:space="preserve">T8 · §4.2, first PLACEHOLDER</w:t>
      </w:r>
    </w:p>
    <w:p>
      <w:pPr>
        <w:pStyle w:val="TableTitle"/>
      </w:pPr>
      <w:r>
        <w:t xml:space="preserve">Table </w:t>
      </w:r>
      <w:r>
        <w:fldChar w:fldCharType="begin"/>
      </w:r>
      <w:r>
        <w:instrText xml:space="preserve"> SEQ Table \* ARABIC </w:instrText>
      </w:r>
      <w:r>
        <w:fldChar w:fldCharType="separate"/>
      </w:r>
      <w:r>
        <w:t>8</w:t>
      </w:r>
      <w:r>
        <w:fldChar w:fldCharType="end"/>
      </w:r>
      <w:r>
        <w:t xml:space="preserve">. Selected calibration state</w:t>
      </w:r>
    </w:p>
    <w:tbl>
      <w:tblPr>
        <w:tblW w:w="9000" w:type="dxa"/>
        <w:tblLayout w:type="fixed"/>
        <w:tblBorders>
          <w:top w:val="single" w:sz="8" w:space="0" w:color="000000"/>
          <w:bottom w:val="single" w:sz="8" w:space="0" w:color="000000"/>
        </w:tblBorders>
        <w:tblCellMar>
          <w:left w:w="70" w:type="dxa"/>
          <w:right w:w="70" w:type="dxa"/>
        </w:tblCellMar>
        <w:tblLook w:val="0000" w:firstRow="0" w:lastRow="0" w:firstColumn="0" w:lastColumn="0" w:noHBand="1" w:noVBand="1"/>
      </w:tblPr>
      <w:tblGrid>
        <w:gridCol w:w="3600"/>
        <w:gridCol w:w="2700"/>
        <w:gridCol w:w="2700"/>
      </w:tblGrid>
      <w:tr>
        <w:trPr>
          <w:tblHeader/>
          <w:cantSplit/>
        </w:trPr>
        <w:tc>
          <w:tcPr>
            <w:tcW w:w="3600" w:type="dxa"/>
            <w:tcBorders>
              <w:bottom w:val="single" w:sz="6" w:space="0" w:color="000000"/>
            </w:tcBorders>
            <w:vAlign w:val="bottom"/>
          </w:tcPr>
          <w:p>
            <w:pPr>
              <w:pStyle w:val="TableText"/>
            </w:pPr>
            <w:r>
              <w:rPr>
                <w:b/>
              </w:rPr>
              <w:t xml:space="preserve">Quantity</w:t>
            </w:r>
          </w:p>
        </w:tc>
        <w:tc>
          <w:tcPr>
            <w:tcW w:w="2700" w:type="dxa"/>
            <w:tcBorders>
              <w:bottom w:val="single" w:sz="6" w:space="0" w:color="000000"/>
            </w:tcBorders>
            <w:vAlign w:val="bottom"/>
          </w:tcPr>
          <w:p>
            <w:pPr>
              <w:pStyle w:val="TableText"/>
            </w:pPr>
            <w:r>
              <w:rPr>
                <w:b/>
              </w:rPr>
              <w:t xml:space="preserve">Candidate 1 (selected)</w:t>
            </w:r>
          </w:p>
        </w:tc>
        <w:tc>
          <w:tcPr>
            <w:tcW w:w="2700" w:type="dxa"/>
            <w:tcBorders>
              <w:bottom w:val="single" w:sz="6" w:space="0" w:color="000000"/>
            </w:tcBorders>
            <w:vAlign w:val="bottom"/>
          </w:tcPr>
          <w:p>
            <w:pPr>
              <w:pStyle w:val="TableText"/>
            </w:pPr>
            <w:r>
              <w:rPr>
                <w:b/>
              </w:rPr>
              <w:t xml:space="preserve">Candidate 2 (second best)</w:t>
            </w:r>
          </w:p>
        </w:tc>
      </w:tr>
      <w:tr>
        <w:trPr>
          <w:cantSplit/>
        </w:trPr>
        <w:tc>
          <w:tcPr>
            <w:tcW w:w="3600" w:type="dxa"/>
          </w:tcPr>
          <w:p>
            <w:pPr>
              <w:pStyle w:val="TableText"/>
            </w:pPr>
            <w:r>
              <w:t xml:space="preserve">Origin</w:t>
            </w:r>
          </w:p>
        </w:tc>
        <w:tc>
          <w:tcPr>
            <w:tcW w:w="2700" w:type="dxa"/>
          </w:tcPr>
          <w:p>
            <w:pPr>
              <w:pStyle w:val="TableText"/>
            </w:pPr>
            <w:r>
              <w:t xml:space="preserve">confirmation (surrogate minimizer)</w:t>
            </w:r>
          </w:p>
        </w:tc>
        <w:tc>
          <w:tcPr>
            <w:tcW w:w="2700" w:type="dxa"/>
          </w:tcPr>
          <w:p>
            <w:pPr>
              <w:pStyle w:val="TableText"/>
            </w:pPr>
            <w:r>
              <w:t xml:space="preserve">confirmation (flat valley)</w:t>
            </w:r>
          </w:p>
        </w:tc>
      </w:tr>
      <w:tr>
        <w:trPr>
          <w:cantSplit/>
        </w:trPr>
        <w:tc>
          <w:tcPr>
            <w:tcW w:w="3600" w:type="dxa"/>
          </w:tcPr>
          <w:p>
            <w:pPr>
              <w:pStyle w:val="TableText"/>
            </w:pPr>
            <w:r>
              <w:t xml:space="preserve">t</w:t>
            </w:r>
          </w:p>
        </w:tc>
        <w:tc>
          <w:tcPr>
            <w:tcW w:w="2700" w:type="dxa"/>
          </w:tcPr>
          <w:p>
            <w:pPr>
              <w:pStyle w:val="TableText"/>
            </w:pPr>
            <w:r>
              <w:t xml:space="preserve">−3</w:t>
            </w:r>
          </w:p>
        </w:tc>
        <w:tc>
          <w:tcPr>
            <w:tcW w:w="2700" w:type="dxa"/>
          </w:tcPr>
          <w:p>
            <w:pPr>
              <w:pStyle w:val="TableText"/>
            </w:pPr>
            <w:r>
              <w:t xml:space="preserve">−3</w:t>
            </w:r>
          </w:p>
        </w:tc>
      </w:tr>
      <w:tr>
        <w:trPr>
          <w:cantSplit/>
        </w:trPr>
        <w:tc>
          <w:tcPr>
            <w:tcW w:w="3600" w:type="dxa"/>
          </w:tcPr>
          <w:p>
            <w:pPr>
              <w:pStyle w:val="TableText"/>
            </w:pPr>
            <w:r>
              <w:t xml:space="preserve">c</w:t>
            </w:r>
            <w:r>
              <w:rPr>
                <w:vertAlign w:val="subscript"/>
              </w:rPr>
              <w:t xml:space="preserve">k</w:t>
            </w:r>
          </w:p>
        </w:tc>
        <w:tc>
          <w:tcPr>
            <w:tcW w:w="2700" w:type="dxa"/>
          </w:tcPr>
          <w:p>
            <w:pPr>
              <w:pStyle w:val="TableText"/>
            </w:pPr>
            <w:r>
              <w:t xml:space="preserve">2.418</w:t>
            </w:r>
          </w:p>
        </w:tc>
        <w:tc>
          <w:tcPr>
            <w:tcW w:w="2700" w:type="dxa"/>
          </w:tcPr>
          <w:p>
            <w:pPr>
              <w:pStyle w:val="TableText"/>
            </w:pPr>
            <w:r>
              <w:t xml:space="preserve">2.370</w:t>
            </w:r>
          </w:p>
        </w:tc>
      </w:tr>
      <w:tr>
        <w:trPr>
          <w:cantSplit/>
        </w:trPr>
        <w:tc>
          <w:tcPr>
            <w:tcW w:w="3600" w:type="dxa"/>
          </w:tcPr>
          <w:p>
            <w:pPr>
              <w:pStyle w:val="TableText"/>
            </w:pPr>
            <w:r>
              <w:t xml:space="preserve">η</w:t>
            </w:r>
          </w:p>
        </w:tc>
        <w:tc>
          <w:tcPr>
            <w:tcW w:w="2700" w:type="dxa"/>
          </w:tcPr>
          <w:p>
            <w:pPr>
              <w:pStyle w:val="TableText"/>
            </w:pPr>
            <w:r>
              <w:t xml:space="preserve">0.000</w:t>
            </w:r>
          </w:p>
        </w:tc>
        <w:tc>
          <w:tcPr>
            <w:tcW w:w="2700" w:type="dxa"/>
          </w:tcPr>
          <w:p>
            <w:pPr>
              <w:pStyle w:val="TableText"/>
            </w:pPr>
            <w:r>
              <w:t xml:space="preserve">0.401</w:t>
            </w:r>
          </w:p>
        </w:tc>
      </w:tr>
      <w:tr>
        <w:trPr>
          <w:cantSplit/>
        </w:trPr>
        <w:tc>
          <w:tcPr>
            <w:tcW w:w="3600" w:type="dxa"/>
          </w:tcPr>
          <w:p>
            <w:pPr>
              <w:pStyle w:val="TableText"/>
            </w:pPr>
            <w:r>
              <w:t xml:space="preserve">α</w:t>
            </w:r>
          </w:p>
        </w:tc>
        <w:tc>
          <w:tcPr>
            <w:tcW w:w="2700" w:type="dxa"/>
          </w:tcPr>
          <w:p>
            <w:pPr>
              <w:pStyle w:val="TableText"/>
            </w:pPr>
            <w:r>
              <w:t xml:space="preserve">0.490</w:t>
            </w:r>
          </w:p>
        </w:tc>
        <w:tc>
          <w:tcPr>
            <w:tcW w:w="2700" w:type="dxa"/>
          </w:tcPr>
          <w:p>
            <w:pPr>
              <w:pStyle w:val="TableText"/>
            </w:pPr>
            <w:r>
              <w:t xml:space="preserve">0.490</w:t>
            </w:r>
          </w:p>
        </w:tc>
      </w:tr>
      <w:tr>
        <w:trPr>
          <w:cantSplit/>
        </w:trPr>
        <w:tc>
          <w:tcPr>
            <w:tcW w:w="3600" w:type="dxa"/>
          </w:tcPr>
          <w:p>
            <w:pPr>
              <w:pStyle w:val="TableText"/>
            </w:pPr>
            <w:r>
              <w:t xml:space="preserve">δ (mm)</w:t>
            </w:r>
          </w:p>
        </w:tc>
        <w:tc>
          <w:tcPr>
            <w:tcW w:w="2700" w:type="dxa"/>
          </w:tcPr>
          <w:p>
            <w:pPr>
              <w:pStyle w:val="TableText"/>
            </w:pPr>
            <w:r>
              <w:t xml:space="preserve">0.0983</w:t>
            </w:r>
          </w:p>
        </w:tc>
        <w:tc>
          <w:tcPr>
            <w:tcW w:w="2700" w:type="dxa"/>
          </w:tcPr>
          <w:p>
            <w:pPr>
              <w:pStyle w:val="TableText"/>
            </w:pPr>
            <w:r>
              <w:t xml:space="preserve">0.0983</w:t>
            </w:r>
          </w:p>
        </w:tc>
      </w:tr>
      <w:tr>
        <w:trPr>
          <w:cantSplit/>
        </w:trPr>
        <w:tc>
          <w:tcPr>
            <w:tcW w:w="3600" w:type="dxa"/>
          </w:tcPr>
          <w:p>
            <w:pPr>
              <w:pStyle w:val="TableText"/>
            </w:pPr>
            <w:r>
              <w:t xml:space="preserve">J</w:t>
            </w:r>
          </w:p>
        </w:tc>
        <w:tc>
          <w:tcPr>
            <w:tcW w:w="2700" w:type="dxa"/>
          </w:tcPr>
          <w:p>
            <w:pPr>
              <w:pStyle w:val="TableText"/>
            </w:pPr>
            <w:r>
              <w:t xml:space="preserve">0.2981</w:t>
            </w:r>
          </w:p>
        </w:tc>
        <w:tc>
          <w:tcPr>
            <w:tcW w:w="2700" w:type="dxa"/>
          </w:tcPr>
          <w:p>
            <w:pPr>
              <w:pStyle w:val="TableText"/>
            </w:pPr>
            <w:r>
              <w:t xml:space="preserve">0.3154</w:t>
            </w:r>
          </w:p>
        </w:tc>
      </w:tr>
      <w:tr>
        <w:trPr>
          <w:cantSplit/>
        </w:trPr>
        <w:tc>
          <w:tcPr>
            <w:tcW w:w="3600" w:type="dxa"/>
          </w:tcPr>
          <w:p>
            <w:pPr>
              <w:pStyle w:val="TableText"/>
            </w:pPr>
            <w:r>
              <w:t xml:space="preserve">e</w:t>
            </w:r>
            <w:r>
              <w:rPr>
                <w:vertAlign w:val="subscript"/>
              </w:rPr>
              <w:t xml:space="preserve">H</w:t>
            </w:r>
          </w:p>
        </w:tc>
        <w:tc>
          <w:tcPr>
            <w:tcW w:w="2700" w:type="dxa"/>
          </w:tcPr>
          <w:p>
            <w:pPr>
              <w:pStyle w:val="TableText"/>
            </w:pPr>
            <w:r>
              <w:t xml:space="preserve">0.651</w:t>
            </w:r>
          </w:p>
        </w:tc>
        <w:tc>
          <w:tcPr>
            <w:tcW w:w="2700" w:type="dxa"/>
          </w:tcPr>
          <w:p>
            <w:pPr>
              <w:pStyle w:val="TableText"/>
            </w:pPr>
            <w:r>
              <w:t xml:space="preserve">0.675</w:t>
            </w:r>
          </w:p>
        </w:tc>
      </w:tr>
      <w:tr>
        <w:trPr>
          <w:cantSplit/>
        </w:trPr>
        <w:tc>
          <w:tcPr>
            <w:tcW w:w="3600" w:type="dxa"/>
          </w:tcPr>
          <w:p>
            <w:pPr>
              <w:pStyle w:val="TableText"/>
            </w:pPr>
            <w:r>
              <w:t xml:space="preserve">e</w:t>
            </w:r>
            <w:r>
              <w:rPr>
                <w:vertAlign w:val="subscript"/>
              </w:rPr>
              <w:t xml:space="preserve">W</w:t>
            </w:r>
          </w:p>
        </w:tc>
        <w:tc>
          <w:tcPr>
            <w:tcW w:w="2700" w:type="dxa"/>
          </w:tcPr>
          <w:p>
            <w:pPr>
              <w:pStyle w:val="TableText"/>
            </w:pPr>
            <w:r>
              <w:t xml:space="preserve">0.416</w:t>
            </w:r>
          </w:p>
        </w:tc>
        <w:tc>
          <w:tcPr>
            <w:tcW w:w="2700" w:type="dxa"/>
          </w:tcPr>
          <w:p>
            <w:pPr>
              <w:pStyle w:val="TableText"/>
            </w:pPr>
            <w:r>
              <w:t xml:space="preserve">0.418</w:t>
            </w:r>
          </w:p>
        </w:tc>
      </w:tr>
      <w:tr>
        <w:trPr>
          <w:cantSplit/>
        </w:trPr>
        <w:tc>
          <w:tcPr>
            <w:tcW w:w="3600" w:type="dxa"/>
          </w:tcPr>
          <w:p>
            <w:pPr>
              <w:pStyle w:val="TableText"/>
            </w:pPr>
            <w:r>
              <w:t xml:space="preserve">½ Q</w:t>
            </w:r>
            <w:r>
              <w:rPr>
                <w:vertAlign w:val="subscript"/>
              </w:rPr>
              <w:t xml:space="preserve">H</w:t>
            </w:r>
            <w:r>
              <w:t xml:space="preserve"> / ½ Q</w:t>
            </w:r>
            <w:r>
              <w:rPr>
                <w:vertAlign w:val="subscript"/>
              </w:rPr>
              <w:t xml:space="preserve">W</w:t>
            </w:r>
          </w:p>
        </w:tc>
        <w:tc>
          <w:tcPr>
            <w:tcW w:w="2700" w:type="dxa"/>
          </w:tcPr>
          <w:p>
            <w:pPr>
              <w:pStyle w:val="TableText"/>
            </w:pPr>
            <w:r>
              <w:t xml:space="preserve">0.212 / 0.086</w:t>
            </w:r>
          </w:p>
        </w:tc>
        <w:tc>
          <w:tcPr>
            <w:tcW w:w="2700" w:type="dxa"/>
          </w:tcPr>
          <w:p>
            <w:pPr>
              <w:pStyle w:val="TableText"/>
            </w:pPr>
            <w:r>
              <w:t xml:space="preserve">0.228 / 0.088</w:t>
            </w:r>
          </w:p>
        </w:tc>
      </w:tr>
      <w:tr>
        <w:trPr>
          <w:cantSplit/>
        </w:trPr>
        <w:tc>
          <w:tcPr>
            <w:tcW w:w="3600" w:type="dxa"/>
          </w:tcPr>
          <w:p>
            <w:pPr>
              <w:pStyle w:val="TableText"/>
            </w:pPr>
            <w:r>
              <w:t xml:space="preserve">Rank by J</w:t>
            </w:r>
          </w:p>
        </w:tc>
        <w:tc>
          <w:tcPr>
            <w:tcW w:w="2700" w:type="dxa"/>
          </w:tcPr>
          <w:p>
            <w:pPr>
              <w:pStyle w:val="TableText"/>
            </w:pPr>
            <w:r>
              <w:t xml:space="preserve">1 of 19</w:t>
            </w:r>
          </w:p>
        </w:tc>
        <w:tc>
          <w:tcPr>
            <w:tcW w:w="2700" w:type="dxa"/>
          </w:tcPr>
          <w:p>
            <w:pPr>
              <w:pStyle w:val="TableText"/>
            </w:pPr>
            <w:r>
              <w:t xml:space="preserve">2 of 19</w:t>
            </w:r>
          </w:p>
        </w:tc>
      </w:tr>
      <w:tr>
        <w:trPr>
          <w:cantSplit/>
        </w:trPr>
        <w:tc>
          <w:tcPr>
            <w:tcW w:w="3600" w:type="dxa"/>
          </w:tcPr>
          <w:p>
            <w:pPr>
              <w:pStyle w:val="TableText"/>
            </w:pPr>
            <w:r>
              <w:t xml:space="preserve">Stability guard value (≤ 0.95)</w:t>
            </w:r>
          </w:p>
        </w:tc>
        <w:tc>
          <w:tcPr>
            <w:tcW w:w="2700" w:type="dxa"/>
          </w:tcPr>
          <w:p>
            <w:pPr>
              <w:pStyle w:val="TableText"/>
            </w:pPr>
            <w:r>
              <w:t xml:space="preserve">0.724</w:t>
            </w:r>
          </w:p>
        </w:tc>
        <w:tc>
          <w:tcPr>
            <w:tcW w:w="2700" w:type="dxa"/>
          </w:tcPr>
          <w:p>
            <w:pPr>
              <w:pStyle w:val="TableText"/>
            </w:pPr>
            <w:r>
              <w:t xml:space="preserve">0.900</w:t>
            </w:r>
          </w:p>
        </w:tc>
      </w:tr>
      <w:tr>
        <w:trPr>
          <w:cantSplit/>
        </w:trPr>
        <w:tc>
          <w:tcPr>
            <w:tcW w:w="3600" w:type="dxa"/>
          </w:tcPr>
          <w:p>
            <w:pPr>
              <w:pStyle w:val="TableText"/>
            </w:pPr>
            <w:r>
              <w:t xml:space="preserve">Coverage</w:t>
            </w:r>
          </w:p>
        </w:tc>
        <w:tc>
          <w:tcPr>
            <w:tcW w:w="2700" w:type="dxa"/>
          </w:tcPr>
          <w:p>
            <w:pPr>
              <w:pStyle w:val="TableText"/>
            </w:pPr>
            <w:r>
              <w:t xml:space="preserve">1.000</w:t>
            </w:r>
          </w:p>
        </w:tc>
        <w:tc>
          <w:tcPr>
            <w:tcW w:w="2700" w:type="dxa"/>
          </w:tcPr>
          <w:p>
            <w:pPr>
              <w:pStyle w:val="TableText"/>
            </w:pPr>
            <w:r>
              <w:t xml:space="preserve">1.000</w:t>
            </w:r>
          </w:p>
        </w:tc>
      </w:tr>
      <w:tr>
        <w:trPr>
          <w:cantSplit/>
        </w:trPr>
        <w:tc>
          <w:tcPr>
            <w:tcW w:w="3600" w:type="dxa"/>
          </w:tcPr>
          <w:p>
            <w:pPr>
              <w:pStyle w:val="TableText"/>
            </w:pPr>
            <w:r>
              <w:t xml:space="preserve">Scored frames</w:t>
            </w:r>
          </w:p>
        </w:tc>
        <w:tc>
          <w:tcPr>
            <w:tcW w:w="2700" w:type="dxa"/>
          </w:tcPr>
          <w:p>
            <w:pPr>
              <w:pStyle w:val="TableText"/>
            </w:pPr>
            <w:r>
              <w:t xml:space="preserve">8,943</w:t>
            </w:r>
          </w:p>
        </w:tc>
        <w:tc>
          <w:tcPr>
            <w:tcW w:w="2700" w:type="dxa"/>
          </w:tcPr>
          <w:p>
            <w:pPr>
              <w:pStyle w:val="TableText"/>
            </w:pPr>
            <w:r>
              <w:t xml:space="preserve">8,943</w:t>
            </w:r>
          </w:p>
        </w:tc>
      </w:tr>
      <w:tr>
        <w:trPr>
          <w:cantSplit/>
        </w:trPr>
        <w:tc>
          <w:tcPr>
            <w:tcW w:w="3600" w:type="dxa"/>
          </w:tcPr>
          <w:p>
            <w:pPr>
              <w:pStyle w:val="TableText"/>
            </w:pPr>
            <w:r>
              <w:t xml:space="preserve">Frames without a pool</w:t>
            </w:r>
          </w:p>
        </w:tc>
        <w:tc>
          <w:tcPr>
            <w:tcW w:w="2700" w:type="dxa"/>
          </w:tcPr>
          <w:p>
            <w:pPr>
              <w:pStyle w:val="TableText"/>
            </w:pPr>
            <w:r>
              <w:t xml:space="preserve">16</w:t>
            </w:r>
          </w:p>
        </w:tc>
        <w:tc>
          <w:tcPr>
            <w:tcW w:w="2700" w:type="dxa"/>
          </w:tcPr>
          <w:p>
            <w:pPr>
              <w:pStyle w:val="TableText"/>
            </w:pPr>
            <w:r>
              <w:t xml:space="preserve">15</w:t>
            </w:r>
          </w:p>
        </w:tc>
      </w:tr>
      <w:tr>
        <w:trPr>
          <w:cantSplit/>
        </w:trPr>
        <w:tc>
          <w:tcPr>
            <w:tcW w:w="3600" w:type="dxa"/>
          </w:tcPr>
          <w:p>
            <w:pPr>
              <w:pStyle w:val="TableText"/>
            </w:pPr>
            <w:r>
              <w:t xml:space="preserve">Frames with peak above 3133 K</w:t>
            </w:r>
          </w:p>
        </w:tc>
        <w:tc>
          <w:tcPr>
            <w:tcW w:w="2700" w:type="dxa"/>
          </w:tcPr>
          <w:p>
            <w:pPr>
              <w:pStyle w:val="TableText"/>
            </w:pPr>
            <w:r>
              <w:t xml:space="preserve">3.4%</w:t>
            </w:r>
          </w:p>
        </w:tc>
        <w:tc>
          <w:tcPr>
            <w:tcW w:w="2700" w:type="dxa"/>
          </w:tcPr>
          <w:p>
            <w:pPr>
              <w:pStyle w:val="TableText"/>
            </w:pPr>
            <w:r>
              <w:t xml:space="preserve">3.5%</w:t>
            </w:r>
          </w:p>
        </w:tc>
      </w:tr>
      <w:tr>
        <w:trPr>
          <w:cantSplit/>
        </w:trPr>
        <w:tc>
          <w:tcPr>
            <w:tcW w:w="3600" w:type="dxa"/>
          </w:tcPr>
          <w:p>
            <w:pPr>
              <w:pStyle w:val="TableText"/>
            </w:pPr>
            <w:r>
              <w:t xml:space="preserve">Median peak surface T (K)</w:t>
            </w:r>
          </w:p>
        </w:tc>
        <w:tc>
          <w:tcPr>
            <w:tcW w:w="2700" w:type="dxa"/>
          </w:tcPr>
          <w:p>
            <w:pPr>
              <w:pStyle w:val="TableText"/>
            </w:pPr>
            <w:r>
              <w:t xml:space="preserve">2117</w:t>
            </w:r>
          </w:p>
        </w:tc>
        <w:tc>
          <w:tcPr>
            <w:tcW w:w="2700" w:type="dxa"/>
          </w:tcPr>
          <w:p>
            <w:pPr>
              <w:pStyle w:val="TableText"/>
            </w:pPr>
            <w:r>
              <w:t xml:space="preserve">2116</w:t>
            </w:r>
          </w:p>
        </w:tc>
      </w:tr>
    </w:tbl>
    <w:p>
      <w:pPr>
        <w:pStyle w:val="TableNote"/>
      </w:pPr>
      <w:r>
        <w:rPr>
          <w:i/>
        </w:rPr>
        <w:t xml:space="preserve">Note. </w:t>
      </w:r>
      <w:r>
        <w:t xml:space="preserve">Both on the 9 calibration coupons. Candidate 1 lies at the lower bounds of t and η; c</w:t>
      </w:r>
      <w:r>
        <w:rPr>
          <w:vertAlign w:val="subscript"/>
        </w:rPr>
        <w:t xml:space="preserve">k</w:t>
      </w:r>
      <w:r>
        <w:t xml:space="preserve"> is interior. The near-best set (J ≤ 1.10 J</w:t>
      </w:r>
      <w:r>
        <w:rPr>
          <w:vertAlign w:val="subscript"/>
        </w:rPr>
        <w:t xml:space="preserve">min</w:t>
      </w:r>
      <w:r>
        <w:t xml:space="preserve">) contains only these two candidates.</w:t>
      </w:r>
    </w:p>
    <w:p>
      <w:pPr>
        <w:pStyle w:val="Placement"/>
      </w:pPr>
      <w:r>
        <w:t xml:space="preserve">F7 · §4.2, second PLACEHOLDER</w:t>
      </w:r>
    </w:p>
    <w:p>
      <w:pPr>
        <w:pStyle w:val="Figure"/>
      </w:pPr>
      <w:r>
        <w:drawing>
          <wp:inline distT="0" distB="0" distL="0" distR="0">
            <wp:extent cx="5715000" cy="2625475"/>
            <wp:docPr id="7" name="Figure 7"/>
            <wp:cNvGraphicFramePr>
              <a:graphicFrameLocks noChangeAspect="1"/>
            </wp:cNvGraphicFramePr>
            <a:graphic>
              <a:graphicData uri="http://schemas.openxmlformats.org/drawingml/2006/picture">
                <pic:pic>
                  <pic:nvPicPr>
                    <pic:cNvPr id="7" name="F7_candidate_ranking.png"/>
                    <pic:cNvPicPr/>
                  </pic:nvPicPr>
                  <pic:blipFill>
                    <a:blip r:embed="rIdImg7"/>
                    <a:stretch>
                      <a:fillRect/>
                    </a:stretch>
                  </pic:blipFill>
                  <pic:spPr>
                    <a:xfrm>
                      <a:off x="0" y="0"/>
                      <a:ext cx="5715000" cy="2625475"/>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7</w:t>
      </w:r>
      <w:r>
        <w:fldChar w:fldCharType="end"/>
      </w:r>
      <w:r>
        <w:t xml:space="preserve">. Calibration candidates ranked by the measured objective.</w:t>
      </w:r>
      <w:r>
        <w:rPr>
          <w:b w:val="0"/>
          <w:bCs w:val="0"/>
        </w:rPr>
        <w:t xml:space="preserve"> Measured objective J on the calibration coupons for every directly evaluated parameter state, split into its H term (dark) and W term (light); the columns give each state's calibration coordinates. Anchor and Halton points form the predefined search design, and Candidates 1 and 2 are the confirmation states proposed by the quadratic surrogate. The dashed line marks the predefined near-best limit relative to the lowest J.</w:t>
      </w:r>
    </w:p>
    <w:p>
      <w:pPr>
        <w:pStyle w:val="Placement"/>
      </w:pPr>
      <w:r>
        <w:t xml:space="preserve">F8 · §4.3, first PLACEHOLDER</w:t>
      </w:r>
    </w:p>
    <w:p>
      <w:pPr>
        <w:pStyle w:val="Figure"/>
      </w:pPr>
      <w:r>
        <w:drawing>
          <wp:inline distT="0" distB="0" distL="0" distR="0">
            <wp:extent cx="4995672" cy="2459736"/>
            <wp:docPr id="8" name="Figure 8"/>
            <wp:cNvGraphicFramePr>
              <a:graphicFrameLocks noChangeAspect="1"/>
            </wp:cNvGraphicFramePr>
            <a:graphic>
              <a:graphicData uri="http://schemas.openxmlformats.org/drawingml/2006/picture">
                <pic:pic>
                  <pic:nvPicPr>
                    <pic:cNvPr id="8" name="F8_observed_vs_predicted.png"/>
                    <pic:cNvPicPr/>
                  </pic:nvPicPr>
                  <pic:blipFill>
                    <a:blip r:embed="rIdImg8"/>
                    <a:stretch>
                      <a:fillRect/>
                    </a:stretch>
                  </pic:blipFill>
                  <pic:spPr>
                    <a:xfrm>
                      <a:off x="0" y="0"/>
                      <a:ext cx="4995672" cy="2459736"/>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8</w:t>
      </w:r>
      <w:r>
        <w:fldChar w:fldCharType="end"/>
      </w:r>
      <w:r>
        <w:t xml:space="preserve">. Observed and predicted melt-pool dimensions in the calibration window.</w:t>
      </w:r>
      <w:r>
        <w:rPr>
          <w:b w:val="0"/>
          <w:bCs w:val="0"/>
        </w:rPr>
        <w:t xml:space="preserve"> Condition medians of camera and model H (a) and W (b) for the five calibration conditions; model medians over frames with a predicted pool. Solid line: 1:1; dashed line: pooled median ratio. Condition ratios range from 1.69 to 1.96 for H and from 0.73 to 0.88 for W.</w:t>
      </w:r>
    </w:p>
    <w:p>
      <w:pPr>
        <w:pStyle w:val="Placement"/>
      </w:pPr>
      <w:r>
        <w:t xml:space="preserve">T9 · §4.4, PLACEHOLDER (or §4.3, second PLACEHOLDER)</w:t>
      </w:r>
    </w:p>
    <w:p>
      <w:pPr>
        <w:pStyle w:val="TableTitle"/>
      </w:pPr>
      <w:r>
        <w:t xml:space="preserve">Table </w:t>
      </w:r>
      <w:r>
        <w:fldChar w:fldCharType="begin"/>
      </w:r>
      <w:r>
        <w:instrText xml:space="preserve"> SEQ Table \* ARABIC </w:instrText>
      </w:r>
      <w:r>
        <w:fldChar w:fldCharType="separate"/>
      </w:r>
      <w:r>
        <w:t>9</w:t>
      </w:r>
      <w:r>
        <w:fldChar w:fldCharType="end"/>
      </w:r>
      <w:r>
        <w:t xml:space="preserve">. Calibration and held-out performance</w:t>
      </w:r>
    </w:p>
    <w:tbl>
      <w:tblPr>
        <w:tblW w:w="9000" w:type="dxa"/>
        <w:tblLayout w:type="fixed"/>
        <w:tblBorders>
          <w:top w:val="single" w:sz="8" w:space="0" w:color="000000"/>
          <w:bottom w:val="single" w:sz="8" w:space="0" w:color="000000"/>
        </w:tblBorders>
        <w:tblCellMar>
          <w:left w:w="70" w:type="dxa"/>
          <w:right w:w="70" w:type="dxa"/>
        </w:tblCellMar>
        <w:tblLook w:val="0000" w:firstRow="0" w:lastRow="0" w:firstColumn="0" w:lastColumn="0" w:noHBand="1" w:noVBand="1"/>
      </w:tblPr>
      <w:tblGrid>
        <w:gridCol w:w="2520"/>
        <w:gridCol w:w="2160"/>
        <w:gridCol w:w="2160"/>
        <w:gridCol w:w="2160"/>
      </w:tblGrid>
      <w:tr>
        <w:trPr>
          <w:tblHeader/>
          <w:cantSplit/>
        </w:trPr>
        <w:tc>
          <w:tcPr>
            <w:tcW w:w="2520" w:type="dxa"/>
            <w:tcBorders>
              <w:bottom w:val="single" w:sz="6" w:space="0" w:color="000000"/>
            </w:tcBorders>
            <w:vAlign w:val="bottom"/>
          </w:tcPr>
          <w:p>
            <w:pPr>
              <w:pStyle w:val="TableText"/>
            </w:pPr>
            <w:r>
              <w:rPr>
                <w:b/>
              </w:rPr>
              <w:t xml:space="preserve">Quantity</w:t>
            </w:r>
          </w:p>
        </w:tc>
        <w:tc>
          <w:tcPr>
            <w:tcW w:w="2160" w:type="dxa"/>
            <w:tcBorders>
              <w:bottom w:val="single" w:sz="6" w:space="0" w:color="000000"/>
            </w:tcBorders>
            <w:vAlign w:val="bottom"/>
          </w:tcPr>
          <w:p>
            <w:pPr>
              <w:pStyle w:val="TableText"/>
              <w:jc w:val="center"/>
            </w:pPr>
            <w:r>
              <w:rPr>
                <w:b/>
              </w:rPr>
              <w:t xml:space="preserve">Calibration</w:t>
            </w:r>
          </w:p>
        </w:tc>
        <w:tc>
          <w:tcPr>
            <w:tcW w:w="2160" w:type="dxa"/>
            <w:tcBorders>
              <w:bottom w:val="single" w:sz="6" w:space="0" w:color="000000"/>
            </w:tcBorders>
            <w:vAlign w:val="bottom"/>
          </w:tcPr>
          <w:p>
            <w:pPr>
              <w:pStyle w:val="TableText"/>
              <w:jc w:val="center"/>
            </w:pPr>
            <w:r>
              <w:rPr>
                <w:b/>
              </w:rPr>
              <w:t xml:space="preserve">Held out, in window</w:t>
            </w:r>
          </w:p>
        </w:tc>
        <w:tc>
          <w:tcPr>
            <w:tcW w:w="2160" w:type="dxa"/>
            <w:tcBorders>
              <w:bottom w:val="single" w:sz="6" w:space="0" w:color="000000"/>
            </w:tcBorders>
            <w:vAlign w:val="bottom"/>
          </w:tcPr>
          <w:p>
            <w:pPr>
              <w:pStyle w:val="TableText"/>
              <w:jc w:val="center"/>
            </w:pPr>
            <w:r>
              <w:rPr>
                <w:b/>
              </w:rPr>
              <w:t xml:space="preserve">Sep 4, 180 W, 1000 mm/s (held out)</w:t>
            </w:r>
          </w:p>
        </w:tc>
      </w:tr>
      <w:tr>
        <w:trPr>
          <w:cantSplit/>
        </w:trPr>
        <w:tc>
          <w:tcPr>
            <w:tcW w:w="2520" w:type="dxa"/>
          </w:tcPr>
          <w:p>
            <w:pPr>
              <w:pStyle w:val="TableText"/>
            </w:pPr>
            <w:r>
              <w:t xml:space="preserve">Coupons (conditions)</w:t>
            </w:r>
          </w:p>
        </w:tc>
        <w:tc>
          <w:tcPr>
            <w:tcW w:w="2160" w:type="dxa"/>
          </w:tcPr>
          <w:p>
            <w:pPr>
              <w:pStyle w:val="TableText"/>
              <w:jc w:val="center"/>
            </w:pPr>
            <w:r>
              <w:t xml:space="preserve">9 (5)</w:t>
            </w:r>
          </w:p>
        </w:tc>
        <w:tc>
          <w:tcPr>
            <w:tcW w:w="2160" w:type="dxa"/>
          </w:tcPr>
          <w:p>
            <w:pPr>
              <w:pStyle w:val="TableText"/>
              <w:jc w:val="center"/>
            </w:pPr>
            <w:r>
              <w:t xml:space="preserve">5 (3)</w:t>
            </w:r>
          </w:p>
        </w:tc>
        <w:tc>
          <w:tcPr>
            <w:tcW w:w="2160" w:type="dxa"/>
          </w:tcPr>
          <w:p>
            <w:pPr>
              <w:pStyle w:val="TableText"/>
              <w:jc w:val="center"/>
            </w:pPr>
            <w:r>
              <w:t xml:space="preserve">1 (1)</w:t>
            </w:r>
          </w:p>
        </w:tc>
      </w:tr>
      <w:tr>
        <w:trPr>
          <w:cantSplit/>
        </w:trPr>
        <w:tc>
          <w:tcPr>
            <w:tcW w:w="2520" w:type="dxa"/>
          </w:tcPr>
          <w:p>
            <w:pPr>
              <w:pStyle w:val="TableText"/>
            </w:pPr>
            <w:r>
              <w:t xml:space="preserve">Scored frames</w:t>
            </w:r>
          </w:p>
        </w:tc>
        <w:tc>
          <w:tcPr>
            <w:tcW w:w="2160" w:type="dxa"/>
          </w:tcPr>
          <w:p>
            <w:pPr>
              <w:pStyle w:val="TableText"/>
              <w:jc w:val="center"/>
            </w:pPr>
            <w:r>
              <w:t xml:space="preserve">8,943</w:t>
            </w:r>
          </w:p>
        </w:tc>
        <w:tc>
          <w:tcPr>
            <w:tcW w:w="2160" w:type="dxa"/>
          </w:tcPr>
          <w:p>
            <w:pPr>
              <w:pStyle w:val="TableText"/>
              <w:jc w:val="center"/>
            </w:pPr>
            <w:r>
              <w:t xml:space="preserve">4,796</w:t>
            </w:r>
          </w:p>
        </w:tc>
        <w:tc>
          <w:tcPr>
            <w:tcW w:w="2160" w:type="dxa"/>
          </w:tcPr>
          <w:p>
            <w:pPr>
              <w:pStyle w:val="TableText"/>
              <w:jc w:val="center"/>
            </w:pPr>
            <w:r>
              <w:t xml:space="preserve">884</w:t>
            </w:r>
          </w:p>
        </w:tc>
      </w:tr>
      <w:tr>
        <w:trPr>
          <w:cantSplit/>
        </w:trPr>
        <w:tc>
          <w:tcPr>
            <w:tcW w:w="2520" w:type="dxa"/>
          </w:tcPr>
          <w:p>
            <w:pPr>
              <w:pStyle w:val="TableText"/>
            </w:pPr>
            <w:r>
              <w:t xml:space="preserve">e</w:t>
            </w:r>
            <w:r>
              <w:rPr>
                <w:vertAlign w:val="subscript"/>
              </w:rPr>
              <w:t xml:space="preserve">H</w:t>
            </w:r>
          </w:p>
        </w:tc>
        <w:tc>
          <w:tcPr>
            <w:tcW w:w="2160" w:type="dxa"/>
          </w:tcPr>
          <w:p>
            <w:pPr>
              <w:pStyle w:val="TableText"/>
              <w:jc w:val="center"/>
            </w:pPr>
            <w:r>
              <w:t xml:space="preserve">0.651 [0.594, 0.689]</w:t>
            </w:r>
          </w:p>
        </w:tc>
        <w:tc>
          <w:tcPr>
            <w:tcW w:w="2160" w:type="dxa"/>
          </w:tcPr>
          <w:p>
            <w:pPr>
              <w:pStyle w:val="TableText"/>
              <w:jc w:val="center"/>
            </w:pPr>
            <w:r>
              <w:t xml:space="preserve">0.672 [0.575, 0.719]</w:t>
            </w:r>
          </w:p>
        </w:tc>
        <w:tc>
          <w:tcPr>
            <w:tcW w:w="2160" w:type="dxa"/>
          </w:tcPr>
          <w:p>
            <w:pPr>
              <w:pStyle w:val="TableText"/>
              <w:jc w:val="center"/>
            </w:pPr>
            <w:r>
              <w:t xml:space="preserve">0.749 [0.712, 0.782]</w:t>
            </w:r>
          </w:p>
        </w:tc>
      </w:tr>
      <w:tr>
        <w:trPr>
          <w:cantSplit/>
        </w:trPr>
        <w:tc>
          <w:tcPr>
            <w:tcW w:w="2520" w:type="dxa"/>
          </w:tcPr>
          <w:p>
            <w:pPr>
              <w:pStyle w:val="TableText"/>
            </w:pPr>
            <w:r>
              <w:t xml:space="preserve">e</w:t>
            </w:r>
            <w:r>
              <w:rPr>
                <w:vertAlign w:val="subscript"/>
              </w:rPr>
              <w:t xml:space="preserve">W</w:t>
            </w:r>
          </w:p>
        </w:tc>
        <w:tc>
          <w:tcPr>
            <w:tcW w:w="2160" w:type="dxa"/>
          </w:tcPr>
          <w:p>
            <w:pPr>
              <w:pStyle w:val="TableText"/>
              <w:jc w:val="center"/>
            </w:pPr>
            <w:r>
              <w:t xml:space="preserve">0.416 [0.353, 0.489]</w:t>
            </w:r>
          </w:p>
        </w:tc>
        <w:tc>
          <w:tcPr>
            <w:tcW w:w="2160" w:type="dxa"/>
          </w:tcPr>
          <w:p>
            <w:pPr>
              <w:pStyle w:val="TableText"/>
              <w:jc w:val="center"/>
            </w:pPr>
            <w:r>
              <w:t xml:space="preserve">0.423 [0.353, 0.517]</w:t>
            </w:r>
          </w:p>
        </w:tc>
        <w:tc>
          <w:tcPr>
            <w:tcW w:w="2160" w:type="dxa"/>
          </w:tcPr>
          <w:p>
            <w:pPr>
              <w:pStyle w:val="TableText"/>
              <w:jc w:val="center"/>
            </w:pPr>
            <w:r>
              <w:t xml:space="preserve">0.380 [0.351, 0.417]</w:t>
            </w:r>
          </w:p>
        </w:tc>
      </w:tr>
      <w:tr>
        <w:trPr>
          <w:cantSplit/>
        </w:trPr>
        <w:tc>
          <w:tcPr>
            <w:tcW w:w="2520" w:type="dxa"/>
          </w:tcPr>
          <w:p>
            <w:pPr>
              <w:pStyle w:val="TableText"/>
            </w:pPr>
            <w:r>
              <w:t xml:space="preserve">J</w:t>
            </w:r>
          </w:p>
        </w:tc>
        <w:tc>
          <w:tcPr>
            <w:tcW w:w="2160" w:type="dxa"/>
          </w:tcPr>
          <w:p>
            <w:pPr>
              <w:pStyle w:val="TableText"/>
              <w:jc w:val="center"/>
            </w:pPr>
            <w:r>
              <w:t xml:space="preserve">0.298 [0.246, 0.351]</w:t>
            </w:r>
          </w:p>
        </w:tc>
        <w:tc>
          <w:tcPr>
            <w:tcW w:w="2160" w:type="dxa"/>
          </w:tcPr>
          <w:p>
            <w:pPr>
              <w:pStyle w:val="TableText"/>
              <w:jc w:val="center"/>
            </w:pPr>
            <w:r>
              <w:t xml:space="preserve">0.315 [0.228, 0.370]</w:t>
            </w:r>
          </w:p>
        </w:tc>
        <w:tc>
          <w:tcPr>
            <w:tcW w:w="2160" w:type="dxa"/>
          </w:tcPr>
          <w:p>
            <w:pPr>
              <w:pStyle w:val="TableText"/>
              <w:jc w:val="center"/>
            </w:pPr>
            <w:r>
              <w:t xml:space="preserve">0.353 [0.322, 0.384]</w:t>
            </w:r>
          </w:p>
        </w:tc>
      </w:tr>
      <w:tr>
        <w:trPr>
          <w:cantSplit/>
        </w:trPr>
        <w:tc>
          <w:tcPr>
            <w:tcW w:w="2520" w:type="dxa"/>
          </w:tcPr>
          <w:p>
            <w:pPr>
              <w:pStyle w:val="TableText"/>
            </w:pPr>
            <w:r>
              <w:t xml:space="preserve">H ratio, model / camera</w:t>
            </w:r>
          </w:p>
        </w:tc>
        <w:tc>
          <w:tcPr>
            <w:tcW w:w="2160" w:type="dxa"/>
          </w:tcPr>
          <w:p>
            <w:pPr>
              <w:pStyle w:val="TableText"/>
              <w:jc w:val="center"/>
            </w:pPr>
            <w:r>
              <w:t xml:space="preserve">1.76 [1.72, 1.83]</w:t>
            </w:r>
          </w:p>
        </w:tc>
        <w:tc>
          <w:tcPr>
            <w:tcW w:w="2160" w:type="dxa"/>
          </w:tcPr>
          <w:p>
            <w:pPr>
              <w:pStyle w:val="TableText"/>
              <w:jc w:val="center"/>
            </w:pPr>
            <w:r>
              <w:t xml:space="preserve">1.77 [1.71, 1.89]</w:t>
            </w:r>
          </w:p>
        </w:tc>
        <w:tc>
          <w:tcPr>
            <w:tcW w:w="2160" w:type="dxa"/>
          </w:tcPr>
          <w:p>
            <w:pPr>
              <w:pStyle w:val="TableText"/>
              <w:jc w:val="center"/>
            </w:pPr>
            <w:r>
              <w:t xml:space="preserve">2.03 [1.95, 2.11]</w:t>
            </w:r>
          </w:p>
        </w:tc>
      </w:tr>
      <w:tr>
        <w:trPr>
          <w:cantSplit/>
        </w:trPr>
        <w:tc>
          <w:tcPr>
            <w:tcW w:w="2520" w:type="dxa"/>
          </w:tcPr>
          <w:p>
            <w:pPr>
              <w:pStyle w:val="TableText"/>
            </w:pPr>
            <w:r>
              <w:t xml:space="preserve">W ratio, model / camera</w:t>
            </w:r>
          </w:p>
        </w:tc>
        <w:tc>
          <w:tcPr>
            <w:tcW w:w="2160" w:type="dxa"/>
          </w:tcPr>
          <w:p>
            <w:pPr>
              <w:pStyle w:val="TableText"/>
              <w:jc w:val="center"/>
            </w:pPr>
            <w:r>
              <w:t xml:space="preserve">0.75 [0.73, 0.81]</w:t>
            </w:r>
          </w:p>
        </w:tc>
        <w:tc>
          <w:tcPr>
            <w:tcW w:w="2160" w:type="dxa"/>
          </w:tcPr>
          <w:p>
            <w:pPr>
              <w:pStyle w:val="TableText"/>
              <w:jc w:val="center"/>
            </w:pPr>
            <w:r>
              <w:t xml:space="preserve">0.75 [0.74, 0.79]</w:t>
            </w:r>
          </w:p>
        </w:tc>
        <w:tc>
          <w:tcPr>
            <w:tcW w:w="2160" w:type="dxa"/>
          </w:tcPr>
          <w:p>
            <w:pPr>
              <w:pStyle w:val="TableText"/>
              <w:jc w:val="center"/>
            </w:pPr>
            <w:r>
              <w:t xml:space="preserve">0.81 [0.80, 0.83]</w:t>
            </w:r>
          </w:p>
        </w:tc>
      </w:tr>
      <w:tr>
        <w:trPr>
          <w:cantSplit/>
        </w:trPr>
        <w:tc>
          <w:tcPr>
            <w:tcW w:w="2520" w:type="dxa"/>
          </w:tcPr>
          <w:p>
            <w:pPr>
              <w:pStyle w:val="TableText"/>
            </w:pPr>
            <w:r>
              <w:t xml:space="preserve">Camera H × W (µm)</w:t>
            </w:r>
          </w:p>
        </w:tc>
        <w:tc>
          <w:tcPr>
            <w:tcW w:w="2160" w:type="dxa"/>
          </w:tcPr>
          <w:p>
            <w:pPr>
              <w:pStyle w:val="TableText"/>
              <w:jc w:val="center"/>
            </w:pPr>
            <w:r>
              <w:t xml:space="preserve">93 × 72</w:t>
            </w:r>
          </w:p>
        </w:tc>
        <w:tc>
          <w:tcPr>
            <w:tcW w:w="2160" w:type="dxa"/>
          </w:tcPr>
          <w:p>
            <w:pPr>
              <w:pStyle w:val="TableText"/>
              <w:jc w:val="center"/>
            </w:pPr>
            <w:r>
              <w:t xml:space="preserve">91 × 72</w:t>
            </w:r>
          </w:p>
        </w:tc>
        <w:tc>
          <w:tcPr>
            <w:tcW w:w="2160" w:type="dxa"/>
          </w:tcPr>
          <w:p>
            <w:pPr>
              <w:pStyle w:val="TableText"/>
              <w:jc w:val="center"/>
            </w:pPr>
            <w:r>
              <w:t xml:space="preserve">93 × 72</w:t>
            </w:r>
          </w:p>
        </w:tc>
      </w:tr>
      <w:tr>
        <w:trPr>
          <w:cantSplit/>
        </w:trPr>
        <w:tc>
          <w:tcPr>
            <w:tcW w:w="2520" w:type="dxa"/>
          </w:tcPr>
          <w:p>
            <w:pPr>
              <w:pStyle w:val="TableText"/>
            </w:pPr>
            <w:r>
              <w:t xml:space="preserve">Model H × W (µm)</w:t>
            </w:r>
          </w:p>
        </w:tc>
        <w:tc>
          <w:tcPr>
            <w:tcW w:w="2160" w:type="dxa"/>
          </w:tcPr>
          <w:p>
            <w:pPr>
              <w:pStyle w:val="TableText"/>
              <w:jc w:val="center"/>
            </w:pPr>
            <w:r>
              <w:t xml:space="preserve">167 × 54</w:t>
            </w:r>
          </w:p>
        </w:tc>
        <w:tc>
          <w:tcPr>
            <w:tcW w:w="2160" w:type="dxa"/>
          </w:tcPr>
          <w:p>
            <w:pPr>
              <w:pStyle w:val="TableText"/>
              <w:jc w:val="center"/>
            </w:pPr>
            <w:r>
              <w:t xml:space="preserve">161 × 53</w:t>
            </w:r>
          </w:p>
        </w:tc>
        <w:tc>
          <w:tcPr>
            <w:tcW w:w="2160" w:type="dxa"/>
          </w:tcPr>
          <w:p>
            <w:pPr>
              <w:pStyle w:val="TableText"/>
              <w:jc w:val="center"/>
            </w:pPr>
            <w:r>
              <w:t xml:space="preserve">191 × 57</w:t>
            </w:r>
          </w:p>
        </w:tc>
      </w:tr>
      <w:tr>
        <w:trPr>
          <w:cantSplit/>
        </w:trPr>
        <w:tc>
          <w:tcPr>
            <w:tcW w:w="2520" w:type="dxa"/>
          </w:tcPr>
          <w:p>
            <w:pPr>
              <w:pStyle w:val="TableText"/>
            </w:pPr>
            <w:r>
              <w:t xml:space="preserve">Coverage (lowest coupon)</w:t>
            </w:r>
          </w:p>
        </w:tc>
        <w:tc>
          <w:tcPr>
            <w:tcW w:w="2160" w:type="dxa"/>
          </w:tcPr>
          <w:p>
            <w:pPr>
              <w:pStyle w:val="TableText"/>
              <w:jc w:val="center"/>
            </w:pPr>
            <w:r>
              <w:t xml:space="preserve">1.000</w:t>
            </w:r>
          </w:p>
        </w:tc>
        <w:tc>
          <w:tcPr>
            <w:tcW w:w="2160" w:type="dxa"/>
          </w:tcPr>
          <w:p>
            <w:pPr>
              <w:pStyle w:val="TableText"/>
              <w:jc w:val="center"/>
            </w:pPr>
            <w:r>
              <w:t xml:space="preserve">1.000</w:t>
            </w:r>
          </w:p>
        </w:tc>
        <w:tc>
          <w:tcPr>
            <w:tcW w:w="2160" w:type="dxa"/>
          </w:tcPr>
          <w:p>
            <w:pPr>
              <w:pStyle w:val="TableText"/>
              <w:jc w:val="center"/>
            </w:pPr>
            <w:r>
              <w:t xml:space="preserve">1.000</w:t>
            </w:r>
          </w:p>
        </w:tc>
      </w:tr>
      <w:tr>
        <w:trPr>
          <w:cantSplit/>
        </w:trPr>
        <w:tc>
          <w:tcPr>
            <w:tcW w:w="2520" w:type="dxa"/>
          </w:tcPr>
          <w:p>
            <w:pPr>
              <w:pStyle w:val="TableText"/>
            </w:pPr>
            <w:r>
              <w:t xml:space="preserve">Frames without a pool</w:t>
            </w:r>
          </w:p>
        </w:tc>
        <w:tc>
          <w:tcPr>
            <w:tcW w:w="2160" w:type="dxa"/>
          </w:tcPr>
          <w:p>
            <w:pPr>
              <w:pStyle w:val="TableText"/>
              <w:jc w:val="center"/>
            </w:pPr>
            <w:r>
              <w:t xml:space="preserve">16</w:t>
            </w:r>
          </w:p>
        </w:tc>
        <w:tc>
          <w:tcPr>
            <w:tcW w:w="2160" w:type="dxa"/>
          </w:tcPr>
          <w:p>
            <w:pPr>
              <w:pStyle w:val="TableText"/>
              <w:jc w:val="center"/>
            </w:pPr>
            <w:r>
              <w:t xml:space="preserve">11</w:t>
            </w:r>
          </w:p>
        </w:tc>
        <w:tc>
          <w:tcPr>
            <w:tcW w:w="2160" w:type="dxa"/>
          </w:tcPr>
          <w:p>
            <w:pPr>
              <w:pStyle w:val="TableText"/>
              <w:jc w:val="center"/>
            </w:pPr>
            <w:r>
              <w:t xml:space="preserve">0</w:t>
            </w:r>
          </w:p>
        </w:tc>
      </w:tr>
      <w:tr>
        <w:trPr>
          <w:cantSplit/>
        </w:trPr>
        <w:tc>
          <w:tcPr>
            <w:tcW w:w="2520" w:type="dxa"/>
          </w:tcPr>
          <w:p>
            <w:pPr>
              <w:pStyle w:val="TableText"/>
            </w:pPr>
            <w:r>
              <w:t xml:space="preserve">V</w:t>
            </w:r>
            <w:r>
              <w:rPr>
                <w:vertAlign w:val="subscript"/>
              </w:rPr>
              <w:t xml:space="preserve">H</w:t>
            </w:r>
            <w:r>
              <w:t xml:space="preserve"> = e</w:t>
            </w:r>
            <w:r>
              <w:rPr>
                <w:vertAlign w:val="subscript"/>
              </w:rPr>
              <w:t xml:space="preserve">H</w:t>
            </w:r>
            <w:r>
              <w:t xml:space="preserve"> / e</w:t>
            </w:r>
            <w:r>
              <w:rPr>
                <w:vertAlign w:val="subscript"/>
              </w:rPr>
              <w:t xml:space="preserve">H,cal</w:t>
            </w:r>
          </w:p>
        </w:tc>
        <w:tc>
          <w:tcPr>
            <w:tcW w:w="2160" w:type="dxa"/>
          </w:tcPr>
          <w:p>
            <w:pPr>
              <w:pStyle w:val="TableText"/>
              <w:jc w:val="center"/>
            </w:pPr>
            <w:r>
              <w:t xml:space="preserve">–</w:t>
            </w:r>
          </w:p>
        </w:tc>
        <w:tc>
          <w:tcPr>
            <w:tcW w:w="2160" w:type="dxa"/>
          </w:tcPr>
          <w:p>
            <w:pPr>
              <w:pStyle w:val="TableText"/>
              <w:jc w:val="center"/>
            </w:pPr>
            <w:r>
              <w:t xml:space="preserve">1.033 [0.879, 1.155]</w:t>
            </w:r>
          </w:p>
        </w:tc>
        <w:tc>
          <w:tcPr>
            <w:tcW w:w="2160" w:type="dxa"/>
          </w:tcPr>
          <w:p>
            <w:pPr>
              <w:pStyle w:val="TableText"/>
              <w:jc w:val="center"/>
            </w:pPr>
            <w:r>
              <w:t xml:space="preserve">1.151 [1.069, 1.272]</w:t>
            </w:r>
          </w:p>
        </w:tc>
      </w:tr>
      <w:tr>
        <w:trPr>
          <w:cantSplit/>
        </w:trPr>
        <w:tc>
          <w:tcPr>
            <w:tcW w:w="2520" w:type="dxa"/>
          </w:tcPr>
          <w:p>
            <w:pPr>
              <w:pStyle w:val="TableText"/>
            </w:pPr>
            <w:r>
              <w:t xml:space="preserve">V</w:t>
            </w:r>
            <w:r>
              <w:rPr>
                <w:vertAlign w:val="subscript"/>
              </w:rPr>
              <w:t xml:space="preserve">W</w:t>
            </w:r>
            <w:r>
              <w:t xml:space="preserve"> = e</w:t>
            </w:r>
            <w:r>
              <w:rPr>
                <w:vertAlign w:val="subscript"/>
              </w:rPr>
              <w:t xml:space="preserve">W</w:t>
            </w:r>
            <w:r>
              <w:t xml:space="preserve"> / e</w:t>
            </w:r>
            <w:r>
              <w:rPr>
                <w:vertAlign w:val="subscript"/>
              </w:rPr>
              <w:t xml:space="preserve">W,cal</w:t>
            </w:r>
          </w:p>
        </w:tc>
        <w:tc>
          <w:tcPr>
            <w:tcW w:w="2160" w:type="dxa"/>
          </w:tcPr>
          <w:p>
            <w:pPr>
              <w:pStyle w:val="TableText"/>
              <w:jc w:val="center"/>
            </w:pPr>
            <w:r>
              <w:t xml:space="preserve">–</w:t>
            </w:r>
          </w:p>
        </w:tc>
        <w:tc>
          <w:tcPr>
            <w:tcW w:w="2160" w:type="dxa"/>
          </w:tcPr>
          <w:p>
            <w:pPr>
              <w:pStyle w:val="TableText"/>
              <w:jc w:val="center"/>
            </w:pPr>
            <w:r>
              <w:t xml:space="preserve">1.017 [0.772, 1.328]</w:t>
            </w:r>
          </w:p>
        </w:tc>
        <w:tc>
          <w:tcPr>
            <w:tcW w:w="2160" w:type="dxa"/>
          </w:tcPr>
          <w:p>
            <w:pPr>
              <w:pStyle w:val="TableText"/>
              <w:jc w:val="center"/>
            </w:pPr>
            <w:r>
              <w:t xml:space="preserve">0.915 [0.760, 1.100]</w:t>
            </w:r>
          </w:p>
        </w:tc>
      </w:tr>
    </w:tbl>
    <w:p>
      <w:pPr>
        <w:pStyle w:val="TableNote"/>
      </w:pPr>
      <w:r>
        <w:rPr>
          <w:i/>
        </w:rPr>
        <w:t xml:space="preserve">Note. </w:t>
      </w:r>
      <w:r>
        <w:t xml:space="preserve">Errors are hierarchical log-RMSEs over the group's conditions; ratios are medians of the frame ratios, with frames without a pool scored as H = W = 0 (1 px floor). Brackets: 95% percentile bootstrap over coupons within the group (single coupon: over tracks). Model sizes are medians of the frames with a pool. Predefined criterion V ≤ 1.25 for H and W: met for both.</w:t>
      </w:r>
    </w:p>
    <w:p>
      <w:pPr>
        <w:pStyle w:val="Placement"/>
      </w:pPr>
      <w:r>
        <w:t xml:space="preserve">F9 · §4.4, PLACEHOLDER, after the table</w:t>
      </w:r>
    </w:p>
    <w:p>
      <w:pPr>
        <w:pStyle w:val="Figure"/>
      </w:pPr>
      <w:r>
        <w:drawing>
          <wp:inline distT="0" distB="0" distL="0" distR="0">
            <wp:extent cx="5004816" cy="2295144"/>
            <wp:docPr id="9" name="Figure 9"/>
            <wp:cNvGraphicFramePr>
              <a:graphicFrameLocks noChangeAspect="1"/>
            </wp:cNvGraphicFramePr>
            <a:graphic>
              <a:graphicData uri="http://schemas.openxmlformats.org/drawingml/2006/picture">
                <pic:pic>
                  <pic:nvPicPr>
                    <pic:cNvPr id="9" name="F9_calibration_vs_held_out.png"/>
                    <pic:cNvPicPr/>
                  </pic:nvPicPr>
                  <pic:blipFill>
                    <a:blip r:embed="rIdImg9"/>
                    <a:stretch>
                      <a:fillRect/>
                    </a:stretch>
                  </pic:blipFill>
                  <pic:spPr>
                    <a:xfrm>
                      <a:off x="0" y="0"/>
                      <a:ext cx="5004816" cy="2295144"/>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9</w:t>
      </w:r>
      <w:r>
        <w:fldChar w:fldCharType="end"/>
      </w:r>
      <w:r>
        <w:t xml:space="preserve">. Calibration and in-window held-out comparison.</w:t>
      </w:r>
      <w:r>
        <w:rPr>
          <w:b w:val="0"/>
          <w:bCs w:val="0"/>
        </w:rPr>
        <w:t xml:space="preserve"> (a) Pooled model-to-camera size ratios for the calibration and in-window held-out groups, with bootstrap intervals; tick marks are individual coupons. The model is longer and narrower than the camera footprint, by nearly the same factor in both groups. (b) Held-out error divided by calibration error, V, for H and W, with bootstrap intervals. Both pooled values lie close to equal error and inside the predefined pass criterion V ≤ 1.25. The grey square is the in-window held-out coupon from the speed-sweep campaign, shown alone.</w:t>
      </w:r>
    </w:p>
    <w:p>
      <w:pPr>
        <w:pStyle w:val="Placement"/>
      </w:pPr>
      <w:r>
        <w:t xml:space="preserve">F10 · §4.5, first PLACEHOLDER</w:t>
      </w:r>
    </w:p>
    <w:p>
      <w:pPr>
        <w:pStyle w:val="Figure"/>
      </w:pPr>
      <w:r>
        <w:drawing>
          <wp:inline distT="0" distB="0" distL="0" distR="0">
            <wp:extent cx="4867656" cy="2779776"/>
            <wp:docPr id="10" name="Figure 10"/>
            <wp:cNvGraphicFramePr>
              <a:graphicFrameLocks noChangeAspect="1"/>
            </wp:cNvGraphicFramePr>
            <a:graphic>
              <a:graphicData uri="http://schemas.openxmlformats.org/drawingml/2006/picture">
                <pic:pic>
                  <pic:nvPicPr>
                    <pic:cNvPr id="10" name="F10_ratio_vs_ved.png"/>
                    <pic:cNvPicPr/>
                  </pic:nvPicPr>
                  <pic:blipFill>
                    <a:blip r:embed="rIdImg10"/>
                    <a:stretch>
                      <a:fillRect/>
                    </a:stretch>
                  </pic:blipFill>
                  <pic:spPr>
                    <a:xfrm>
                      <a:off x="0" y="0"/>
                      <a:ext cx="4867656" cy="2779776"/>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10</w:t>
      </w:r>
      <w:r>
        <w:fldChar w:fldCharType="end"/>
      </w:r>
      <w:r>
        <w:t xml:space="preserve">. Model-to-camera ratios against volumetric energy density.</w:t>
      </w:r>
      <w:r>
        <w:rPr>
          <w:b w:val="0"/>
          <w:bCs w:val="0"/>
        </w:rPr>
        <w:t xml:space="preserve"> Coupon median ratios of H (a) and W (b) on a log scale, with 95% track-bootstrap intervals; marker shape gives the data role and the shaded band the calibration window. Frames without a predicted pool are scored as H = W = 0 (1 px floor); they make up 53.5% of the scored frames at 41.7 J/mm³.</w:t>
      </w:r>
    </w:p>
    <w:p>
      <w:pPr>
        <w:pStyle w:val="Placement"/>
      </w:pPr>
      <w:r>
        <w:t xml:space="preserve">T10 · §4.5, second PLACEHOLDER</w:t>
      </w:r>
    </w:p>
    <w:p>
      <w:pPr>
        <w:pStyle w:val="TableTitle"/>
      </w:pPr>
      <w:r>
        <w:t xml:space="preserve">Table </w:t>
      </w:r>
      <w:r>
        <w:fldChar w:fldCharType="begin"/>
      </w:r>
      <w:r>
        <w:instrText xml:space="preserve"> SEQ Table \* ARABIC </w:instrText>
      </w:r>
      <w:r>
        <w:fldChar w:fldCharType="separate"/>
      </w:r>
      <w:r>
        <w:t>10</w:t>
      </w:r>
      <w:r>
        <w:fldChar w:fldCharType="end"/>
      </w:r>
      <w:r>
        <w:t xml:space="preserve">. Out-of-window performance by process condition</w:t>
      </w:r>
    </w:p>
    <w:tbl>
      <w:tblPr>
        <w:tblW w:w="9000" w:type="dxa"/>
        <w:tblLayout w:type="fixed"/>
        <w:tblBorders>
          <w:top w:val="single" w:sz="8" w:space="0" w:color="000000"/>
          <w:bottom w:val="single" w:sz="8" w:space="0" w:color="000000"/>
        </w:tblBorders>
        <w:tblCellMar>
          <w:left w:w="70" w:type="dxa"/>
          <w:right w:w="70" w:type="dxa"/>
        </w:tblCellMar>
        <w:tblLook w:val="0000" w:firstRow="0" w:lastRow="0" w:firstColumn="0" w:lastColumn="0" w:noHBand="1" w:noVBand="1"/>
      </w:tblPr>
      <w:tblGrid>
        <w:gridCol w:w="1980"/>
        <w:gridCol w:w="990"/>
        <w:gridCol w:w="1080"/>
        <w:gridCol w:w="1530"/>
        <w:gridCol w:w="1530"/>
        <w:gridCol w:w="900"/>
        <w:gridCol w:w="990"/>
      </w:tblGrid>
      <w:tr>
        <w:trPr>
          <w:tblHeader/>
          <w:cantSplit/>
        </w:trPr>
        <w:tc>
          <w:tcPr>
            <w:tcW w:w="1980" w:type="dxa"/>
            <w:tcBorders>
              <w:bottom w:val="single" w:sz="6" w:space="0" w:color="000000"/>
            </w:tcBorders>
            <w:vAlign w:val="bottom"/>
          </w:tcPr>
          <w:p>
            <w:pPr>
              <w:pStyle w:val="TableText"/>
            </w:pPr>
            <w:r>
              <w:rPr>
                <w:b/>
              </w:rPr>
              <w:t xml:space="preserve">Condition</w:t>
            </w:r>
          </w:p>
        </w:tc>
        <w:tc>
          <w:tcPr>
            <w:tcW w:w="990" w:type="dxa"/>
            <w:tcBorders>
              <w:bottom w:val="single" w:sz="6" w:space="0" w:color="000000"/>
            </w:tcBorders>
            <w:vAlign w:val="bottom"/>
          </w:tcPr>
          <w:p>
            <w:pPr>
              <w:pStyle w:val="TableText"/>
              <w:jc w:val="center"/>
            </w:pPr>
            <w:r>
              <w:rPr>
                <w:b/>
              </w:rPr>
              <w:t xml:space="preserve">VED (J/mm³)</w:t>
            </w:r>
          </w:p>
        </w:tc>
        <w:tc>
          <w:tcPr>
            <w:tcW w:w="1080" w:type="dxa"/>
            <w:tcBorders>
              <w:bottom w:val="single" w:sz="6" w:space="0" w:color="000000"/>
            </w:tcBorders>
            <w:vAlign w:val="bottom"/>
          </w:tcPr>
          <w:p>
            <w:pPr>
              <w:pStyle w:val="TableText"/>
            </w:pPr>
            <w:r>
              <w:rPr>
                <w:b/>
              </w:rPr>
              <w:t xml:space="preserve">Status</w:t>
            </w:r>
          </w:p>
        </w:tc>
        <w:tc>
          <w:tcPr>
            <w:tcW w:w="1530" w:type="dxa"/>
            <w:tcBorders>
              <w:bottom w:val="single" w:sz="6" w:space="0" w:color="000000"/>
            </w:tcBorders>
            <w:vAlign w:val="bottom"/>
          </w:tcPr>
          <w:p>
            <w:pPr>
              <w:pStyle w:val="TableText"/>
              <w:jc w:val="center"/>
            </w:pPr>
            <w:r>
              <w:rPr>
                <w:b/>
              </w:rPr>
              <w:t xml:space="preserve">H ratio [95% CI]</w:t>
            </w:r>
          </w:p>
        </w:tc>
        <w:tc>
          <w:tcPr>
            <w:tcW w:w="1530" w:type="dxa"/>
            <w:tcBorders>
              <w:bottom w:val="single" w:sz="6" w:space="0" w:color="000000"/>
            </w:tcBorders>
            <w:vAlign w:val="bottom"/>
          </w:tcPr>
          <w:p>
            <w:pPr>
              <w:pStyle w:val="TableText"/>
              <w:jc w:val="center"/>
            </w:pPr>
            <w:r>
              <w:rPr>
                <w:b/>
              </w:rPr>
              <w:t xml:space="preserve">W ratio [95% CI]</w:t>
            </w:r>
          </w:p>
        </w:tc>
        <w:tc>
          <w:tcPr>
            <w:tcW w:w="900" w:type="dxa"/>
            <w:tcBorders>
              <w:bottom w:val="single" w:sz="6" w:space="0" w:color="000000"/>
            </w:tcBorders>
            <w:vAlign w:val="bottom"/>
          </w:tcPr>
          <w:p>
            <w:pPr>
              <w:pStyle w:val="TableText"/>
              <w:jc w:val="center"/>
            </w:pPr>
            <w:r>
              <w:rPr>
                <w:b/>
              </w:rPr>
              <w:t xml:space="preserve">No pool (%)</w:t>
            </w:r>
          </w:p>
        </w:tc>
        <w:tc>
          <w:tcPr>
            <w:tcW w:w="990" w:type="dxa"/>
            <w:tcBorders>
              <w:bottom w:val="single" w:sz="6" w:space="0" w:color="000000"/>
            </w:tcBorders>
            <w:vAlign w:val="bottom"/>
          </w:tcPr>
          <w:p>
            <w:pPr>
              <w:pStyle w:val="TableText"/>
              <w:jc w:val="center"/>
            </w:pPr>
            <w:r>
              <w:rPr>
                <w:b/>
              </w:rPr>
              <w:t xml:space="preserve">Coverage</w:t>
            </w:r>
          </w:p>
        </w:tc>
      </w:tr>
      <w:tr>
        <w:trPr>
          <w:cantSplit/>
        </w:trPr>
        <w:tc>
          <w:tcPr>
            <w:tcW w:w="1980" w:type="dxa"/>
          </w:tcPr>
          <w:p>
            <w:pPr>
              <w:pStyle w:val="TableText"/>
            </w:pPr>
            <w:r>
              <w:t xml:space="preserve">140 W, 1400 mm/s</w:t>
            </w:r>
          </w:p>
        </w:tc>
        <w:tc>
          <w:tcPr>
            <w:tcW w:w="990" w:type="dxa"/>
          </w:tcPr>
          <w:p>
            <w:pPr>
              <w:pStyle w:val="TableText"/>
              <w:jc w:val="center"/>
            </w:pPr>
            <w:r>
              <w:t xml:space="preserve">41.7</w:t>
            </w:r>
          </w:p>
        </w:tc>
        <w:tc>
          <w:tcPr>
            <w:tcW w:w="1080" w:type="dxa"/>
          </w:tcPr>
          <w:p>
            <w:pPr>
              <w:pStyle w:val="TableText"/>
            </w:pPr>
            <w:r>
              <w:t xml:space="preserve">examined</w:t>
            </w:r>
          </w:p>
        </w:tc>
        <w:tc>
          <w:tcPr>
            <w:tcW w:w="1530" w:type="dxa"/>
          </w:tcPr>
          <w:p>
            <w:pPr>
              <w:pStyle w:val="TableText"/>
              <w:jc w:val="center"/>
            </w:pPr>
            <w:r>
              <w:t xml:space="preserve">0.14 [0.13, 0.23]</w:t>
            </w:r>
          </w:p>
        </w:tc>
        <w:tc>
          <w:tcPr>
            <w:tcW w:w="1530" w:type="dxa"/>
          </w:tcPr>
          <w:p>
            <w:pPr>
              <w:pStyle w:val="TableText"/>
              <w:jc w:val="center"/>
            </w:pPr>
            <w:r>
              <w:t xml:space="preserve">0.18 [0.17, 0.27]</w:t>
            </w:r>
          </w:p>
        </w:tc>
        <w:tc>
          <w:tcPr>
            <w:tcW w:w="900" w:type="dxa"/>
          </w:tcPr>
          <w:p>
            <w:pPr>
              <w:pStyle w:val="TableText"/>
              <w:jc w:val="center"/>
            </w:pPr>
            <w:r>
              <w:t xml:space="preserve">53.5</w:t>
            </w:r>
          </w:p>
        </w:tc>
        <w:tc>
          <w:tcPr>
            <w:tcW w:w="990" w:type="dxa"/>
          </w:tcPr>
          <w:p>
            <w:pPr>
              <w:pStyle w:val="TableText"/>
              <w:jc w:val="center"/>
            </w:pPr>
            <w:r>
              <w:t xml:space="preserve">1.000</w:t>
            </w:r>
          </w:p>
        </w:tc>
      </w:tr>
      <w:tr>
        <w:trPr>
          <w:cantSplit/>
        </w:trPr>
        <w:tc>
          <w:tcPr>
            <w:tcW w:w="1980" w:type="dxa"/>
          </w:tcPr>
          <w:p>
            <w:pPr>
              <w:pStyle w:val="TableText"/>
            </w:pPr>
            <w:r>
              <w:t xml:space="preserve">140 W, 1200 mm/s</w:t>
            </w:r>
          </w:p>
        </w:tc>
        <w:tc>
          <w:tcPr>
            <w:tcW w:w="990" w:type="dxa"/>
          </w:tcPr>
          <w:p>
            <w:pPr>
              <w:pStyle w:val="TableText"/>
              <w:jc w:val="center"/>
            </w:pPr>
            <w:r>
              <w:t xml:space="preserve">48.6</w:t>
            </w:r>
          </w:p>
        </w:tc>
        <w:tc>
          <w:tcPr>
            <w:tcW w:w="1080" w:type="dxa"/>
          </w:tcPr>
          <w:p>
            <w:pPr>
              <w:pStyle w:val="TableText"/>
            </w:pPr>
            <w:r>
              <w:t xml:space="preserve">examined</w:t>
            </w:r>
          </w:p>
        </w:tc>
        <w:tc>
          <w:tcPr>
            <w:tcW w:w="1530" w:type="dxa"/>
          </w:tcPr>
          <w:p>
            <w:pPr>
              <w:pStyle w:val="TableText"/>
              <w:jc w:val="center"/>
            </w:pPr>
            <w:r>
              <w:t xml:space="preserve">0.96 [0.94, 0.99]</w:t>
            </w:r>
          </w:p>
        </w:tc>
        <w:tc>
          <w:tcPr>
            <w:tcW w:w="1530" w:type="dxa"/>
          </w:tcPr>
          <w:p>
            <w:pPr>
              <w:pStyle w:val="TableText"/>
              <w:jc w:val="center"/>
            </w:pPr>
            <w:r>
              <w:t xml:space="preserve">0.53 [0.52, 0.54]</w:t>
            </w:r>
          </w:p>
        </w:tc>
        <w:tc>
          <w:tcPr>
            <w:tcW w:w="900" w:type="dxa"/>
          </w:tcPr>
          <w:p>
            <w:pPr>
              <w:pStyle w:val="TableText"/>
              <w:jc w:val="center"/>
            </w:pPr>
            <w:r>
              <w:t xml:space="preserve">11.0</w:t>
            </w:r>
          </w:p>
        </w:tc>
        <w:tc>
          <w:tcPr>
            <w:tcW w:w="990" w:type="dxa"/>
          </w:tcPr>
          <w:p>
            <w:pPr>
              <w:pStyle w:val="TableText"/>
              <w:jc w:val="center"/>
            </w:pPr>
            <w:r>
              <w:t xml:space="preserve">1.000</w:t>
            </w:r>
          </w:p>
        </w:tc>
      </w:tr>
      <w:tr>
        <w:trPr>
          <w:cantSplit/>
        </w:trPr>
        <w:tc>
          <w:tcPr>
            <w:tcW w:w="1980" w:type="dxa"/>
          </w:tcPr>
          <w:p>
            <w:pPr>
              <w:pStyle w:val="TableText"/>
            </w:pPr>
            <w:r>
              <w:t xml:space="preserve">180 W, 1400 mm/s</w:t>
            </w:r>
          </w:p>
        </w:tc>
        <w:tc>
          <w:tcPr>
            <w:tcW w:w="990" w:type="dxa"/>
          </w:tcPr>
          <w:p>
            <w:pPr>
              <w:pStyle w:val="TableText"/>
              <w:jc w:val="center"/>
            </w:pPr>
            <w:r>
              <w:t xml:space="preserve">53.6</w:t>
            </w:r>
          </w:p>
        </w:tc>
        <w:tc>
          <w:tcPr>
            <w:tcW w:w="1080" w:type="dxa"/>
          </w:tcPr>
          <w:p>
            <w:pPr>
              <w:pStyle w:val="TableText"/>
            </w:pPr>
            <w:r>
              <w:t xml:space="preserve">examined</w:t>
            </w:r>
          </w:p>
        </w:tc>
        <w:tc>
          <w:tcPr>
            <w:tcW w:w="1530" w:type="dxa"/>
          </w:tcPr>
          <w:p>
            <w:pPr>
              <w:pStyle w:val="TableText"/>
              <w:jc w:val="center"/>
            </w:pPr>
            <w:r>
              <w:t xml:space="preserve">1.28 [1.24, 1.36]</w:t>
            </w:r>
          </w:p>
        </w:tc>
        <w:tc>
          <w:tcPr>
            <w:tcW w:w="1530" w:type="dxa"/>
          </w:tcPr>
          <w:p>
            <w:pPr>
              <w:pStyle w:val="TableText"/>
              <w:jc w:val="center"/>
            </w:pPr>
            <w:r>
              <w:t xml:space="preserve">0.64 [0.62, 0.66]</w:t>
            </w:r>
          </w:p>
        </w:tc>
        <w:tc>
          <w:tcPr>
            <w:tcW w:w="900" w:type="dxa"/>
          </w:tcPr>
          <w:p>
            <w:pPr>
              <w:pStyle w:val="TableText"/>
              <w:jc w:val="center"/>
            </w:pPr>
            <w:r>
              <w:t xml:space="preserve">3.3</w:t>
            </w:r>
          </w:p>
        </w:tc>
        <w:tc>
          <w:tcPr>
            <w:tcW w:w="990" w:type="dxa"/>
          </w:tcPr>
          <w:p>
            <w:pPr>
              <w:pStyle w:val="TableText"/>
              <w:jc w:val="center"/>
            </w:pPr>
            <w:r>
              <w:t xml:space="preserve">1.000</w:t>
            </w:r>
          </w:p>
        </w:tc>
      </w:tr>
      <w:tr>
        <w:trPr>
          <w:cantSplit/>
        </w:trPr>
        <w:tc>
          <w:tcPr>
            <w:tcW w:w="1980" w:type="dxa"/>
          </w:tcPr>
          <w:p>
            <w:pPr>
              <w:pStyle w:val="TableText"/>
            </w:pPr>
            <w:r>
              <w:t xml:space="preserve">160 W, 1200 mm/s</w:t>
            </w:r>
          </w:p>
        </w:tc>
        <w:tc>
          <w:tcPr>
            <w:tcW w:w="990" w:type="dxa"/>
          </w:tcPr>
          <w:p>
            <w:pPr>
              <w:pStyle w:val="TableText"/>
              <w:jc w:val="center"/>
            </w:pPr>
            <w:r>
              <w:t xml:space="preserve">55.6</w:t>
            </w:r>
          </w:p>
        </w:tc>
        <w:tc>
          <w:tcPr>
            <w:tcW w:w="1080" w:type="dxa"/>
          </w:tcPr>
          <w:p>
            <w:pPr>
              <w:pStyle w:val="TableText"/>
            </w:pPr>
            <w:r>
              <w:t xml:space="preserve">blind</w:t>
            </w:r>
          </w:p>
        </w:tc>
        <w:tc>
          <w:tcPr>
            <w:tcW w:w="1530" w:type="dxa"/>
          </w:tcPr>
          <w:p>
            <w:pPr>
              <w:pStyle w:val="TableText"/>
              <w:jc w:val="center"/>
            </w:pPr>
            <w:r>
              <w:t xml:space="preserve">1.36 [1.32, 1.42]</w:t>
            </w:r>
          </w:p>
        </w:tc>
        <w:tc>
          <w:tcPr>
            <w:tcW w:w="1530" w:type="dxa"/>
          </w:tcPr>
          <w:p>
            <w:pPr>
              <w:pStyle w:val="TableText"/>
              <w:jc w:val="center"/>
            </w:pPr>
            <w:r>
              <w:t xml:space="preserve">0.62 [0.61, 0.63]</w:t>
            </w:r>
          </w:p>
        </w:tc>
        <w:tc>
          <w:tcPr>
            <w:tcW w:w="900" w:type="dxa"/>
          </w:tcPr>
          <w:p>
            <w:pPr>
              <w:pStyle w:val="TableText"/>
              <w:jc w:val="center"/>
            </w:pPr>
            <w:r>
              <w:t xml:space="preserve">0.0</w:t>
            </w:r>
          </w:p>
        </w:tc>
        <w:tc>
          <w:tcPr>
            <w:tcW w:w="990" w:type="dxa"/>
          </w:tcPr>
          <w:p>
            <w:pPr>
              <w:pStyle w:val="TableText"/>
              <w:jc w:val="center"/>
            </w:pPr>
            <w:r>
              <w:t xml:space="preserve">1.000</w:t>
            </w:r>
          </w:p>
        </w:tc>
      </w:tr>
      <w:tr>
        <w:trPr>
          <w:cantSplit/>
        </w:trPr>
        <w:tc>
          <w:tcPr>
            <w:tcW w:w="1980" w:type="dxa"/>
          </w:tcPr>
          <w:p>
            <w:pPr>
              <w:pStyle w:val="TableText"/>
            </w:pPr>
            <w:r>
              <w:t xml:space="preserve">140 W, 1000 mm/s</w:t>
            </w:r>
          </w:p>
        </w:tc>
        <w:tc>
          <w:tcPr>
            <w:tcW w:w="990" w:type="dxa"/>
          </w:tcPr>
          <w:p>
            <w:pPr>
              <w:pStyle w:val="TableText"/>
              <w:jc w:val="center"/>
            </w:pPr>
            <w:r>
              <w:t xml:space="preserve">58.3</w:t>
            </w:r>
          </w:p>
        </w:tc>
        <w:tc>
          <w:tcPr>
            <w:tcW w:w="1080" w:type="dxa"/>
          </w:tcPr>
          <w:p>
            <w:pPr>
              <w:pStyle w:val="TableText"/>
            </w:pPr>
            <w:r>
              <w:t xml:space="preserve">blind</w:t>
            </w:r>
          </w:p>
        </w:tc>
        <w:tc>
          <w:tcPr>
            <w:tcW w:w="1530" w:type="dxa"/>
          </w:tcPr>
          <w:p>
            <w:pPr>
              <w:pStyle w:val="TableText"/>
              <w:jc w:val="center"/>
            </w:pPr>
            <w:r>
              <w:t xml:space="preserve">1.35 [1.31, 1.38]</w:t>
            </w:r>
          </w:p>
        </w:tc>
        <w:tc>
          <w:tcPr>
            <w:tcW w:w="1530" w:type="dxa"/>
          </w:tcPr>
          <w:p>
            <w:pPr>
              <w:pStyle w:val="TableText"/>
              <w:jc w:val="center"/>
            </w:pPr>
            <w:r>
              <w:t xml:space="preserve">0.68 [0.67, 0.69]</w:t>
            </w:r>
          </w:p>
        </w:tc>
        <w:tc>
          <w:tcPr>
            <w:tcW w:w="900" w:type="dxa"/>
          </w:tcPr>
          <w:p>
            <w:pPr>
              <w:pStyle w:val="TableText"/>
              <w:jc w:val="center"/>
            </w:pPr>
            <w:r>
              <w:t xml:space="preserve">0.1</w:t>
            </w:r>
          </w:p>
        </w:tc>
        <w:tc>
          <w:tcPr>
            <w:tcW w:w="990" w:type="dxa"/>
          </w:tcPr>
          <w:p>
            <w:pPr>
              <w:pStyle w:val="TableText"/>
              <w:jc w:val="center"/>
            </w:pPr>
            <w:r>
              <w:t xml:space="preserve">1.000</w:t>
            </w:r>
          </w:p>
        </w:tc>
      </w:tr>
      <w:tr>
        <w:trPr>
          <w:cantSplit/>
        </w:trPr>
        <w:tc>
          <w:tcPr>
            <w:tcW w:w="1980" w:type="dxa"/>
          </w:tcPr>
          <w:p>
            <w:pPr>
              <w:pStyle w:val="TableText"/>
            </w:pPr>
            <w:r>
              <w:t xml:space="preserve">180 W, 1200 mm/s</w:t>
            </w:r>
          </w:p>
        </w:tc>
        <w:tc>
          <w:tcPr>
            <w:tcW w:w="990" w:type="dxa"/>
          </w:tcPr>
          <w:p>
            <w:pPr>
              <w:pStyle w:val="TableText"/>
              <w:jc w:val="center"/>
            </w:pPr>
            <w:r>
              <w:t xml:space="preserve">62.5</w:t>
            </w:r>
          </w:p>
        </w:tc>
        <w:tc>
          <w:tcPr>
            <w:tcW w:w="1080" w:type="dxa"/>
          </w:tcPr>
          <w:p>
            <w:pPr>
              <w:pStyle w:val="TableText"/>
            </w:pPr>
            <w:r>
              <w:t xml:space="preserve">examined</w:t>
            </w:r>
          </w:p>
        </w:tc>
        <w:tc>
          <w:tcPr>
            <w:tcW w:w="1530" w:type="dxa"/>
          </w:tcPr>
          <w:p>
            <w:pPr>
              <w:pStyle w:val="TableText"/>
              <w:jc w:val="center"/>
            </w:pPr>
            <w:r>
              <w:t xml:space="preserve">1.61 [1.58, 1.66]</w:t>
            </w:r>
          </w:p>
        </w:tc>
        <w:tc>
          <w:tcPr>
            <w:tcW w:w="1530" w:type="dxa"/>
          </w:tcPr>
          <w:p>
            <w:pPr>
              <w:pStyle w:val="TableText"/>
              <w:jc w:val="center"/>
            </w:pPr>
            <w:r>
              <w:t xml:space="preserve">0.67 [0.66, 0.68]</w:t>
            </w:r>
          </w:p>
        </w:tc>
        <w:tc>
          <w:tcPr>
            <w:tcW w:w="900" w:type="dxa"/>
          </w:tcPr>
          <w:p>
            <w:pPr>
              <w:pStyle w:val="TableText"/>
              <w:jc w:val="center"/>
            </w:pPr>
            <w:r>
              <w:t xml:space="preserve">0.1</w:t>
            </w:r>
          </w:p>
        </w:tc>
        <w:tc>
          <w:tcPr>
            <w:tcW w:w="990" w:type="dxa"/>
          </w:tcPr>
          <w:p>
            <w:pPr>
              <w:pStyle w:val="TableText"/>
              <w:jc w:val="center"/>
            </w:pPr>
            <w:r>
              <w:t xml:space="preserve">1.000</w:t>
            </w:r>
          </w:p>
        </w:tc>
      </w:tr>
      <w:tr>
        <w:trPr>
          <w:cantSplit/>
        </w:trPr>
        <w:tc>
          <w:tcPr>
            <w:tcW w:w="1980" w:type="dxa"/>
          </w:tcPr>
          <w:p>
            <w:pPr>
              <w:pStyle w:val="TableText"/>
            </w:pPr>
            <w:r>
              <w:t xml:space="preserve">160 W, 700 mm/s</w:t>
            </w:r>
          </w:p>
        </w:tc>
        <w:tc>
          <w:tcPr>
            <w:tcW w:w="990" w:type="dxa"/>
          </w:tcPr>
          <w:p>
            <w:pPr>
              <w:pStyle w:val="TableText"/>
              <w:jc w:val="center"/>
            </w:pPr>
            <w:r>
              <w:t xml:space="preserve">95.2</w:t>
            </w:r>
          </w:p>
        </w:tc>
        <w:tc>
          <w:tcPr>
            <w:tcW w:w="1080" w:type="dxa"/>
          </w:tcPr>
          <w:p>
            <w:pPr>
              <w:pStyle w:val="TableText"/>
            </w:pPr>
            <w:r>
              <w:t xml:space="preserve">blind</w:t>
            </w:r>
          </w:p>
        </w:tc>
        <w:tc>
          <w:tcPr>
            <w:tcW w:w="1530" w:type="dxa"/>
          </w:tcPr>
          <w:p>
            <w:pPr>
              <w:pStyle w:val="TableText"/>
              <w:jc w:val="center"/>
            </w:pPr>
            <w:r>
              <w:t xml:space="preserve">2.31 [2.19, 2.47]</w:t>
            </w:r>
          </w:p>
        </w:tc>
        <w:tc>
          <w:tcPr>
            <w:tcW w:w="1530" w:type="dxa"/>
          </w:tcPr>
          <w:p>
            <w:pPr>
              <w:pStyle w:val="TableText"/>
              <w:jc w:val="center"/>
            </w:pPr>
            <w:r>
              <w:t xml:space="preserve">0.95 [0.92, 0.98]</w:t>
            </w:r>
          </w:p>
        </w:tc>
        <w:tc>
          <w:tcPr>
            <w:tcW w:w="900" w:type="dxa"/>
          </w:tcPr>
          <w:p>
            <w:pPr>
              <w:pStyle w:val="TableText"/>
              <w:jc w:val="center"/>
            </w:pPr>
            <w:r>
              <w:t xml:space="preserve">0.0</w:t>
            </w:r>
          </w:p>
        </w:tc>
        <w:tc>
          <w:tcPr>
            <w:tcW w:w="990" w:type="dxa"/>
          </w:tcPr>
          <w:p>
            <w:pPr>
              <w:pStyle w:val="TableText"/>
              <w:jc w:val="center"/>
            </w:pPr>
            <w:r>
              <w:t xml:space="preserve">1.000</w:t>
            </w:r>
          </w:p>
        </w:tc>
      </w:tr>
      <w:tr>
        <w:trPr>
          <w:cantSplit/>
        </w:trPr>
        <w:tc>
          <w:tcPr>
            <w:tcW w:w="1980" w:type="dxa"/>
          </w:tcPr>
          <w:p>
            <w:pPr>
              <w:pStyle w:val="TableText"/>
            </w:pPr>
            <w:r>
              <w:t xml:space="preserve">140 W, 600 mm/s</w:t>
            </w:r>
          </w:p>
        </w:tc>
        <w:tc>
          <w:tcPr>
            <w:tcW w:w="990" w:type="dxa"/>
          </w:tcPr>
          <w:p>
            <w:pPr>
              <w:pStyle w:val="TableText"/>
              <w:jc w:val="center"/>
            </w:pPr>
            <w:r>
              <w:t xml:space="preserve">97.2</w:t>
            </w:r>
          </w:p>
        </w:tc>
        <w:tc>
          <w:tcPr>
            <w:tcW w:w="1080" w:type="dxa"/>
          </w:tcPr>
          <w:p>
            <w:pPr>
              <w:pStyle w:val="TableText"/>
            </w:pPr>
            <w:r>
              <w:t xml:space="preserve">examined</w:t>
            </w:r>
          </w:p>
        </w:tc>
        <w:tc>
          <w:tcPr>
            <w:tcW w:w="1530" w:type="dxa"/>
          </w:tcPr>
          <w:p>
            <w:pPr>
              <w:pStyle w:val="TableText"/>
              <w:jc w:val="center"/>
            </w:pPr>
            <w:r>
              <w:t xml:space="preserve">2.30 [2.14, 2.44]</w:t>
            </w:r>
          </w:p>
        </w:tc>
        <w:tc>
          <w:tcPr>
            <w:tcW w:w="1530" w:type="dxa"/>
          </w:tcPr>
          <w:p>
            <w:pPr>
              <w:pStyle w:val="TableText"/>
              <w:jc w:val="center"/>
            </w:pPr>
            <w:r>
              <w:t xml:space="preserve">1.10 [1.08, 1.10]</w:t>
            </w:r>
          </w:p>
        </w:tc>
        <w:tc>
          <w:tcPr>
            <w:tcW w:w="900" w:type="dxa"/>
          </w:tcPr>
          <w:p>
            <w:pPr>
              <w:pStyle w:val="TableText"/>
              <w:jc w:val="center"/>
            </w:pPr>
            <w:r>
              <w:t xml:space="preserve">0.0</w:t>
            </w:r>
          </w:p>
        </w:tc>
        <w:tc>
          <w:tcPr>
            <w:tcW w:w="990" w:type="dxa"/>
          </w:tcPr>
          <w:p>
            <w:pPr>
              <w:pStyle w:val="TableText"/>
              <w:jc w:val="center"/>
            </w:pPr>
            <w:r>
              <w:t xml:space="preserve">1.000</w:t>
            </w:r>
          </w:p>
        </w:tc>
      </w:tr>
      <w:tr>
        <w:trPr>
          <w:cantSplit/>
        </w:trPr>
        <w:tc>
          <w:tcPr>
            <w:tcW w:w="1980" w:type="dxa"/>
          </w:tcPr>
          <w:p>
            <w:pPr>
              <w:pStyle w:val="TableText"/>
            </w:pPr>
            <w:r>
              <w:t xml:space="preserve">180 W, 700 mm/s</w:t>
            </w:r>
          </w:p>
        </w:tc>
        <w:tc>
          <w:tcPr>
            <w:tcW w:w="990" w:type="dxa"/>
          </w:tcPr>
          <w:p>
            <w:pPr>
              <w:pStyle w:val="TableText"/>
              <w:jc w:val="center"/>
            </w:pPr>
            <w:r>
              <w:t xml:space="preserve">107.1</w:t>
            </w:r>
          </w:p>
        </w:tc>
        <w:tc>
          <w:tcPr>
            <w:tcW w:w="1080" w:type="dxa"/>
          </w:tcPr>
          <w:p>
            <w:pPr>
              <w:pStyle w:val="TableText"/>
            </w:pPr>
            <w:r>
              <w:t xml:space="preserve">examined</w:t>
            </w:r>
          </w:p>
        </w:tc>
        <w:tc>
          <w:tcPr>
            <w:tcW w:w="1530" w:type="dxa"/>
          </w:tcPr>
          <w:p>
            <w:pPr>
              <w:pStyle w:val="TableText"/>
              <w:jc w:val="center"/>
            </w:pPr>
            <w:r>
              <w:t xml:space="preserve">2.62 [2.46, 2.81]</w:t>
            </w:r>
          </w:p>
        </w:tc>
        <w:tc>
          <w:tcPr>
            <w:tcW w:w="1530" w:type="dxa"/>
          </w:tcPr>
          <w:p>
            <w:pPr>
              <w:pStyle w:val="TableText"/>
              <w:jc w:val="center"/>
            </w:pPr>
            <w:r>
              <w:t xml:space="preserve">0.99 [0.97, 1.04]</w:t>
            </w:r>
          </w:p>
        </w:tc>
        <w:tc>
          <w:tcPr>
            <w:tcW w:w="900" w:type="dxa"/>
          </w:tcPr>
          <w:p>
            <w:pPr>
              <w:pStyle w:val="TableText"/>
              <w:jc w:val="center"/>
            </w:pPr>
            <w:r>
              <w:t xml:space="preserve">0.0</w:t>
            </w:r>
          </w:p>
        </w:tc>
        <w:tc>
          <w:tcPr>
            <w:tcW w:w="990" w:type="dxa"/>
          </w:tcPr>
          <w:p>
            <w:pPr>
              <w:pStyle w:val="TableText"/>
              <w:jc w:val="center"/>
            </w:pPr>
            <w:r>
              <w:t xml:space="preserve">1.000</w:t>
            </w:r>
          </w:p>
        </w:tc>
      </w:tr>
      <w:tr>
        <w:trPr>
          <w:cantSplit/>
        </w:trPr>
        <w:tc>
          <w:tcPr>
            <w:tcW w:w="1980" w:type="dxa"/>
          </w:tcPr>
          <w:p>
            <w:pPr>
              <w:pStyle w:val="TableText"/>
            </w:pPr>
            <w:r>
              <w:t xml:space="preserve">180 W, 600 mm/s</w:t>
            </w:r>
          </w:p>
        </w:tc>
        <w:tc>
          <w:tcPr>
            <w:tcW w:w="990" w:type="dxa"/>
          </w:tcPr>
          <w:p>
            <w:pPr>
              <w:pStyle w:val="TableText"/>
              <w:jc w:val="center"/>
            </w:pPr>
            <w:r>
              <w:t xml:space="preserve">125.0</w:t>
            </w:r>
          </w:p>
        </w:tc>
        <w:tc>
          <w:tcPr>
            <w:tcW w:w="1080" w:type="dxa"/>
          </w:tcPr>
          <w:p>
            <w:pPr>
              <w:pStyle w:val="TableText"/>
            </w:pPr>
            <w:r>
              <w:t xml:space="preserve">examined</w:t>
            </w:r>
          </w:p>
        </w:tc>
        <w:tc>
          <w:tcPr>
            <w:tcW w:w="1530" w:type="dxa"/>
          </w:tcPr>
          <w:p>
            <w:pPr>
              <w:pStyle w:val="TableText"/>
              <w:jc w:val="center"/>
            </w:pPr>
            <w:r>
              <w:t xml:space="preserve">2.98 [2.66, 3.33]</w:t>
            </w:r>
          </w:p>
        </w:tc>
        <w:tc>
          <w:tcPr>
            <w:tcW w:w="1530" w:type="dxa"/>
          </w:tcPr>
          <w:p>
            <w:pPr>
              <w:pStyle w:val="TableText"/>
              <w:jc w:val="center"/>
            </w:pPr>
            <w:r>
              <w:t xml:space="preserve">1.20 [1.11, 1.23]</w:t>
            </w:r>
          </w:p>
        </w:tc>
        <w:tc>
          <w:tcPr>
            <w:tcW w:w="900" w:type="dxa"/>
          </w:tcPr>
          <w:p>
            <w:pPr>
              <w:pStyle w:val="TableText"/>
              <w:jc w:val="center"/>
            </w:pPr>
            <w:r>
              <w:t xml:space="preserve">0.0</w:t>
            </w:r>
          </w:p>
        </w:tc>
        <w:tc>
          <w:tcPr>
            <w:tcW w:w="990" w:type="dxa"/>
          </w:tcPr>
          <w:p>
            <w:pPr>
              <w:pStyle w:val="TableText"/>
              <w:jc w:val="center"/>
            </w:pPr>
            <w:r>
              <w:t xml:space="preserve">1.000</w:t>
            </w:r>
          </w:p>
        </w:tc>
      </w:tr>
      <w:tr>
        <w:trPr>
          <w:cantSplit/>
        </w:trPr>
        <w:tc>
          <w:tcPr>
            <w:tcW w:w="1980" w:type="dxa"/>
            <w:tcBorders>
              <w:top w:val="single" w:sz="4" w:space="0" w:color="000000"/>
            </w:tcBorders>
          </w:tcPr>
          <w:p>
            <w:pPr>
              <w:pStyle w:val="TableText"/>
            </w:pPr>
            <w:r>
              <w:t xml:space="preserve">Below the window (6)</w:t>
            </w:r>
          </w:p>
        </w:tc>
        <w:tc>
          <w:tcPr>
            <w:tcW w:w="990" w:type="dxa"/>
            <w:tcBorders>
              <w:top w:val="single" w:sz="4" w:space="0" w:color="000000"/>
            </w:tcBorders>
          </w:tcPr>
          <w:p>
            <w:pPr>
              <w:pStyle w:val="TableText"/>
              <w:jc w:val="center"/>
            </w:pPr>
          </w:p>
        </w:tc>
        <w:tc>
          <w:tcPr>
            <w:tcW w:w="1080" w:type="dxa"/>
            <w:tcBorders>
              <w:top w:val="single" w:sz="4" w:space="0" w:color="000000"/>
            </w:tcBorders>
          </w:tcPr>
          <w:p>
            <w:pPr>
              <w:pStyle w:val="TableText"/>
            </w:pPr>
          </w:p>
        </w:tc>
        <w:tc>
          <w:tcPr>
            <w:tcW w:w="1530" w:type="dxa"/>
            <w:tcBorders>
              <w:top w:val="single" w:sz="4" w:space="0" w:color="000000"/>
            </w:tcBorders>
          </w:tcPr>
          <w:p>
            <w:pPr>
              <w:pStyle w:val="TableText"/>
              <w:jc w:val="center"/>
            </w:pPr>
            <w:r>
              <w:t xml:space="preserve">1.29 [0.99, 1.48]</w:t>
            </w:r>
          </w:p>
        </w:tc>
        <w:tc>
          <w:tcPr>
            <w:tcW w:w="1530" w:type="dxa"/>
            <w:tcBorders>
              <w:top w:val="single" w:sz="4" w:space="0" w:color="000000"/>
            </w:tcBorders>
          </w:tcPr>
          <w:p>
            <w:pPr>
              <w:pStyle w:val="TableText"/>
              <w:jc w:val="center"/>
            </w:pPr>
            <w:r>
              <w:t xml:space="preserve">0.63 [0.55, 0.67]</w:t>
            </w:r>
          </w:p>
        </w:tc>
        <w:tc>
          <w:tcPr>
            <w:tcW w:w="900" w:type="dxa"/>
            <w:tcBorders>
              <w:top w:val="single" w:sz="4" w:space="0" w:color="000000"/>
            </w:tcBorders>
          </w:tcPr>
          <w:p>
            <w:pPr>
              <w:pStyle w:val="TableText"/>
              <w:jc w:val="center"/>
            </w:pPr>
            <w:r>
              <w:t xml:space="preserve">10.0</w:t>
            </w:r>
          </w:p>
        </w:tc>
        <w:tc>
          <w:tcPr>
            <w:tcW w:w="990" w:type="dxa"/>
            <w:tcBorders>
              <w:top w:val="single" w:sz="4" w:space="0" w:color="000000"/>
            </w:tcBorders>
          </w:tcPr>
          <w:p>
            <w:pPr>
              <w:pStyle w:val="TableText"/>
              <w:jc w:val="center"/>
            </w:pPr>
            <w:r>
              <w:t xml:space="preserve">1.000</w:t>
            </w:r>
          </w:p>
        </w:tc>
      </w:tr>
      <w:tr>
        <w:trPr>
          <w:cantSplit/>
        </w:trPr>
        <w:tc>
          <w:tcPr>
            <w:tcW w:w="1980" w:type="dxa"/>
          </w:tcPr>
          <w:p>
            <w:pPr>
              <w:pStyle w:val="TableText"/>
            </w:pPr>
            <w:r>
              <w:t xml:space="preserve">Above the window (4)</w:t>
            </w:r>
          </w:p>
        </w:tc>
        <w:tc>
          <w:tcPr>
            <w:tcW w:w="990" w:type="dxa"/>
          </w:tcPr>
          <w:p>
            <w:pPr>
              <w:pStyle w:val="TableText"/>
              <w:jc w:val="center"/>
            </w:pPr>
          </w:p>
        </w:tc>
        <w:tc>
          <w:tcPr>
            <w:tcW w:w="1080" w:type="dxa"/>
          </w:tcPr>
          <w:p>
            <w:pPr>
              <w:pStyle w:val="TableText"/>
            </w:pPr>
          </w:p>
        </w:tc>
        <w:tc>
          <w:tcPr>
            <w:tcW w:w="1530" w:type="dxa"/>
          </w:tcPr>
          <w:p>
            <w:pPr>
              <w:pStyle w:val="TableText"/>
              <w:jc w:val="center"/>
            </w:pPr>
            <w:r>
              <w:t xml:space="preserve">2.50 [2.30, 2.78]</w:t>
            </w:r>
          </w:p>
        </w:tc>
        <w:tc>
          <w:tcPr>
            <w:tcW w:w="1530" w:type="dxa"/>
          </w:tcPr>
          <w:p>
            <w:pPr>
              <w:pStyle w:val="TableText"/>
              <w:jc w:val="center"/>
            </w:pPr>
            <w:r>
              <w:t xml:space="preserve">1.07 [0.98, 1.15]</w:t>
            </w:r>
          </w:p>
        </w:tc>
        <w:tc>
          <w:tcPr>
            <w:tcW w:w="900" w:type="dxa"/>
          </w:tcPr>
          <w:p>
            <w:pPr>
              <w:pStyle w:val="TableText"/>
              <w:jc w:val="center"/>
            </w:pPr>
            <w:r>
              <w:t xml:space="preserve">0.0</w:t>
            </w:r>
          </w:p>
        </w:tc>
        <w:tc>
          <w:tcPr>
            <w:tcW w:w="990" w:type="dxa"/>
          </w:tcPr>
          <w:p>
            <w:pPr>
              <w:pStyle w:val="TableText"/>
              <w:jc w:val="center"/>
            </w:pPr>
            <w:r>
              <w:t xml:space="preserve">1.000</w:t>
            </w:r>
          </w:p>
        </w:tc>
      </w:tr>
      <w:tr>
        <w:trPr>
          <w:cantSplit/>
        </w:trPr>
        <w:tc>
          <w:tcPr>
            <w:tcW w:w="1980" w:type="dxa"/>
          </w:tcPr>
          <w:p>
            <w:pPr>
              <w:pStyle w:val="TableText"/>
            </w:pPr>
            <w:r>
              <w:t xml:space="preserve">All out of window (10)</w:t>
            </w:r>
          </w:p>
        </w:tc>
        <w:tc>
          <w:tcPr>
            <w:tcW w:w="990" w:type="dxa"/>
          </w:tcPr>
          <w:p>
            <w:pPr>
              <w:pStyle w:val="TableText"/>
              <w:jc w:val="center"/>
            </w:pPr>
          </w:p>
        </w:tc>
        <w:tc>
          <w:tcPr>
            <w:tcW w:w="1080" w:type="dxa"/>
          </w:tcPr>
          <w:p>
            <w:pPr>
              <w:pStyle w:val="TableText"/>
            </w:pPr>
          </w:p>
        </w:tc>
        <w:tc>
          <w:tcPr>
            <w:tcW w:w="1530" w:type="dxa"/>
          </w:tcPr>
          <w:p>
            <w:pPr>
              <w:pStyle w:val="TableText"/>
              <w:jc w:val="center"/>
            </w:pPr>
            <w:r>
              <w:t xml:space="preserve">1.98 [1.34, 2.40]</w:t>
            </w:r>
          </w:p>
        </w:tc>
        <w:tc>
          <w:tcPr>
            <w:tcW w:w="1530" w:type="dxa"/>
          </w:tcPr>
          <w:p>
            <w:pPr>
              <w:pStyle w:val="TableText"/>
              <w:jc w:val="center"/>
            </w:pPr>
            <w:r>
              <w:t xml:space="preserve">0.97 [0.67, 1.07]</w:t>
            </w:r>
          </w:p>
        </w:tc>
        <w:tc>
          <w:tcPr>
            <w:tcW w:w="900" w:type="dxa"/>
          </w:tcPr>
          <w:p>
            <w:pPr>
              <w:pStyle w:val="TableText"/>
              <w:jc w:val="center"/>
            </w:pPr>
            <w:r>
              <w:t xml:space="preserve">4.4</w:t>
            </w:r>
          </w:p>
        </w:tc>
        <w:tc>
          <w:tcPr>
            <w:tcW w:w="990" w:type="dxa"/>
          </w:tcPr>
          <w:p>
            <w:pPr>
              <w:pStyle w:val="TableText"/>
              <w:jc w:val="center"/>
            </w:pPr>
            <w:r>
              <w:t xml:space="preserve">1.000</w:t>
            </w:r>
          </w:p>
        </w:tc>
      </w:tr>
    </w:tbl>
    <w:p>
      <w:pPr>
        <w:pStyle w:val="TableNote"/>
      </w:pPr>
      <w:r>
        <w:rPr>
          <w:i/>
        </w:rPr>
        <w:t xml:space="preserve">Note. </w:t>
      </w:r>
      <w:r>
        <w:t xml:space="preserve">Each out-of-window condition is one coupon. Ratios are medians of the frame ratios (model / camera); intervals from 4,000 track-bootstrap resamples (single coupon) or coupon-bootstrap resamples (groups). 'Examined' coupons were compared with the model during development; 'blind' coupons were first compared after the freeze. Spearman rank correlation of the coupon median log residual with VED: ρ = 0.976 (H), 0.964 (W). Below the window, H is still larger than the camera's for 4 of 6 coupons; W is smaller for all 6.</w:t>
      </w:r>
    </w:p>
    <w:p>
      <w:pPr>
        <w:pStyle w:val="Placement"/>
      </w:pPr>
      <w:r>
        <w:t xml:space="preserve">F11 · §4.6, first PLACEHOLDER</w:t>
      </w:r>
    </w:p>
    <w:p>
      <w:pPr>
        <w:pStyle w:val="Figure"/>
      </w:pPr>
      <w:r>
        <w:drawing>
          <wp:inline distT="0" distB="0" distL="0" distR="0">
            <wp:extent cx="5102352" cy="2319528"/>
            <wp:docPr id="11" name="Figure 11"/>
            <wp:cNvGraphicFramePr>
              <a:graphicFrameLocks noChangeAspect="1"/>
            </wp:cNvGraphicFramePr>
            <a:graphic>
              <a:graphicData uri="http://schemas.openxmlformats.org/drawingml/2006/picture">
                <pic:pic>
                  <pic:nvPicPr>
                    <pic:cNvPr id="11" name="F11_process_slopes.png"/>
                    <pic:cNvPicPr/>
                  </pic:nvPicPr>
                  <pic:blipFill>
                    <a:blip r:embed="rIdImg11"/>
                    <a:stretch>
                      <a:fillRect/>
                    </a:stretch>
                  </pic:blipFill>
                  <pic:spPr>
                    <a:xfrm>
                      <a:off x="0" y="0"/>
                      <a:ext cx="5102352" cy="2319528"/>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11</w:t>
      </w:r>
      <w:r>
        <w:fldChar w:fldCharType="end"/>
      </w:r>
      <w:r>
        <w:t xml:space="preserve">. Sensitivity of melt-pool size to the process parameters.</w:t>
      </w:r>
      <w:r>
        <w:rPr>
          <w:b w:val="0"/>
          <w:bCs w:val="0"/>
        </w:rPr>
        <w:t xml:space="preserve"> Fitted percentage change in melt-pool length H, width W and shape H/W for a one-percent increase in laser power (a), scan speed (b) and volumetric energy density (c), from log-log regressions over the coupon medians, for the camera (orange) and the calibrated model (blue); lines are coupon-bootstrap intervals. Camera and model change in the same direction, but the model responds several times more strongly in both length and width. The camera's shape barely changes with energy density, whereas the model's elongates. Leaving out the lowest-energy coupon does not change these conclusions.</w:t>
      </w:r>
    </w:p>
    <w:p>
      <w:pPr>
        <w:pStyle w:val="Placement"/>
      </w:pPr>
      <w:r>
        <w:t xml:space="preserve">F12 · §4.7, first PLACEHOLDER</w:t>
      </w:r>
    </w:p>
    <w:p>
      <w:pPr>
        <w:pStyle w:val="Figure"/>
      </w:pPr>
      <w:r>
        <w:drawing>
          <wp:inline distT="0" distB="0" distL="0" distR="0">
            <wp:extent cx="4785360" cy="3279648"/>
            <wp:docPr id="12" name="Figure 12"/>
            <wp:cNvGraphicFramePr>
              <a:graphicFrameLocks noChangeAspect="1"/>
            </wp:cNvGraphicFramePr>
            <a:graphic>
              <a:graphicData uri="http://schemas.openxmlformats.org/drawingml/2006/picture">
                <pic:pic>
                  <pic:nvPicPr>
                    <pic:cNvPr id="12" name="F12_operators.png"/>
                    <pic:cNvPicPr/>
                  </pic:nvPicPr>
                  <pic:blipFill>
                    <a:blip r:embed="rIdImg12"/>
                    <a:stretch>
                      <a:fillRect/>
                    </a:stretch>
                  </pic:blipFill>
                  <pic:spPr>
                    <a:xfrm>
                      <a:off x="0" y="0"/>
                      <a:ext cx="4785360" cy="3279648"/>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12</w:t>
      </w:r>
      <w:r>
        <w:fldChar w:fldCharType="end"/>
      </w:r>
      <w:r>
        <w:t xml:space="preserve">. Observation operators compared.</w:t>
      </w:r>
      <w:r>
        <w:rPr>
          <w:b w:val="0"/>
          <w:bCs w:val="0"/>
        </w:rPr>
        <w:t xml:space="preserve"> (a–c) One scored camera frame per energy-density level, with the camera threshold-150 outline (orange), the model liquidus outline (blue) and the simulated-camera threshold-150 outline (aqua; 850 nm, uniform emissivity, PSF 0 px, T150 = 1950 K) in camera pixels. (d–f) Group medians of the H, W and H/W ratios to the camera for the liquidus and the simulated camera (PSF 0 and 2 px). In the calibration group the H/W ratio is 2.34 for the liquidus and 1.03 for the simulated camera; simulated-camera coverage outside the window is 72% (PSF 0) and 69% (PSF 2).</w:t>
      </w:r>
    </w:p>
    <w:p>
      <w:pPr>
        <w:pStyle w:val="Placement"/>
      </w:pPr>
      <w:r>
        <w:t xml:space="preserve">F13 · §4.7, second PLACEHOLDER</w:t>
      </w:r>
    </w:p>
    <w:p>
      <w:pPr>
        <w:pStyle w:val="Figure"/>
      </w:pPr>
      <w:r>
        <w:drawing>
          <wp:inline distT="0" distB="0" distL="0" distR="0">
            <wp:extent cx="5538216" cy="3361944"/>
            <wp:docPr id="13" name="Figure 13"/>
            <wp:cNvGraphicFramePr>
              <a:graphicFrameLocks noChangeAspect="1"/>
            </wp:cNvGraphicFramePr>
            <a:graphic>
              <a:graphicData uri="http://schemas.openxmlformats.org/drawingml/2006/picture">
                <pic:pic>
                  <pic:nvPicPr>
                    <pic:cNvPr id="13" name="F13_thresholds_and_isotherms.png"/>
                    <pic:cNvPicPr/>
                  </pic:nvPicPr>
                  <pic:blipFill>
                    <a:blip r:embed="rIdImg13"/>
                    <a:stretch>
                      <a:fillRect/>
                    </a:stretch>
                  </pic:blipFill>
                  <pic:spPr>
                    <a:xfrm>
                      <a:off x="0" y="0"/>
                      <a:ext cx="5538216" cy="3361944"/>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13</w:t>
      </w:r>
      <w:r>
        <w:fldChar w:fldCharType="end"/>
      </w:r>
      <w:r>
        <w:t xml:space="preserve">. Camera thresholds and model isotherms.</w:t>
      </w:r>
      <w:r>
        <w:rPr>
          <w:b w:val="0"/>
          <w:bCs w:val="0"/>
        </w:rPr>
        <w:t xml:space="preserve"> One scored frame of a calibration coupon, seen by the camera and by the calibrated model. (a) Camera melt-pool outlines at increasing brightness thresholds; the thick outline is the 150-count threshold used for scoring. (b) Camera H and W at each threshold, with H/W below. (c) Model outlines at increasing isotherms on the simulated top surface; the thick outline is the 1673 K liquidus used for scoring, the dashed frame marks the camera's field of view, and isotherms that leave the model window are not drawn. (d) Model H and W at each isotherm. Raising the threshold shrinks the camera footprint while it stays nearly round, whereas every model isotherm is more elongated than any camera outline, so changing the level does not bring the two shapes together.</w:t>
      </w:r>
    </w:p>
    <w:sectPr>
      <w:pgSz w:w="12240" w:h="15840"/>
      <w:pgMar w:top="1440" w:right="1440" w:bottom="1440" w:left="1800" w:header="720" w:footer="720" w:gutter="0"/>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eastAsia="Times New Roman" w:hAnsi="Times New Roman" w:cs="Times New Roman"/>
        <w:sz w:val="24"/>
        <w:szCs w:val="24"/>
        <w:lang w:val="en-US"/>
      </w:rPr>
    </w:rPrDefault>
    <w:pPrDefault/>
  </w:docDefaults>
  <w:style w:type="paragraph" w:default="1" w:styleId="Normal">
    <w:name w:val="Normal"/>
    <w:qFormat/>
    <w:pPr>
      <w:spacing w:line="360" w:lineRule="auto"/>
    </w:pPr>
    <w:rPr>
      <w:sz w:val="24"/>
      <w:szCs w:val="24"/>
    </w:rPr>
  </w:style>
  <w:style w:type="paragraph" w:styleId="Heading1">
    <w:name w:val="heading 1"/>
    <w:basedOn w:val="Normal"/>
    <w:next w:val="Normal"/>
    <w:qFormat/>
    <w:pPr>
      <w:keepNext/>
      <w:spacing w:before="240" w:after="120"/>
      <w:outlineLvl w:val="0"/>
    </w:pPr>
    <w:rPr>
      <w:b/>
      <w:sz w:val="28"/>
    </w:rPr>
  </w:style>
  <w:style w:type="paragraph" w:customStyle="1" w:styleId="TableTitle">
    <w:name w:val="Table Title"/>
    <w:basedOn w:val="Normal"/>
    <w:next w:val="Normal"/>
    <w:pPr>
      <w:keepNext/>
      <w:keepLines/>
      <w:spacing w:before="240" w:after="120" w:line="240" w:lineRule="auto"/>
    </w:pPr>
    <w:rPr>
      <w:b/>
    </w:rPr>
  </w:style>
  <w:style w:type="paragraph" w:styleId="Caption">
    <w:name w:val="caption"/>
    <w:basedOn w:val="Normal"/>
    <w:next w:val="Normal"/>
    <w:qFormat/>
    <w:pPr>
      <w:keepLines/>
      <w:spacing w:after="360" w:line="240" w:lineRule="auto"/>
    </w:pPr>
    <w:rPr>
      <w:b/>
      <w:bCs/>
    </w:rPr>
  </w:style>
  <w:style w:type="paragraph" w:customStyle="1" w:styleId="Figure">
    <w:name w:val="Figure"/>
    <w:basedOn w:val="Normal"/>
    <w:next w:val="Caption"/>
    <w:pPr>
      <w:keepNext/>
      <w:spacing w:before="240" w:line="240" w:lineRule="auto"/>
      <w:jc w:val="center"/>
    </w:pPr>
  </w:style>
  <w:style w:type="paragraph" w:customStyle="1" w:styleId="TableText">
    <w:name w:val="Table Text"/>
    <w:basedOn w:val="Normal"/>
    <w:pPr>
      <w:spacing w:before="20" w:after="20" w:line="240" w:lineRule="auto"/>
    </w:pPr>
    <w:rPr>
      <w:sz w:val="20"/>
      <w:szCs w:val="20"/>
    </w:rPr>
  </w:style>
  <w:style w:type="paragraph" w:customStyle="1" w:styleId="TableNote">
    <w:name w:val="Table Note"/>
    <w:basedOn w:val="Normal"/>
    <w:pPr>
      <w:spacing w:before="60" w:after="240" w:line="240" w:lineRule="auto"/>
    </w:pPr>
    <w:rPr>
      <w:sz w:val="20"/>
      <w:szCs w:val="20"/>
    </w:rPr>
  </w:style>
  <w:style w:type="paragraph" w:customStyle="1" w:styleId="Placement">
    <w:name w:val="Placement"/>
    <w:basedOn w:val="Normal"/>
    <w:pPr>
      <w:keepNext/>
      <w:pBdr>
        <w:top w:val="single" w:sz="4" w:space="4" w:color="BFBFBF"/>
      </w:pBdr>
      <w:spacing w:before="480" w:after="0" w:line="240" w:lineRule="auto"/>
    </w:pPr>
    <w:rPr>
      <w:i/>
      <w:color w:val="7F7F7F"/>
      <w:sz w:val="18"/>
      <w:szCs w:val="18"/>
    </w:rPr>
  </w:style>
  <w:style w:type="table" w:default="1" w:styleId="TableNormal">
    <w:name w:val="Normal Table"/>
    <w:tblPr>
      <w:tblInd w:w="0" w:type="dxa"/>
      <w:tblCellMar>
        <w:top w:w="0" w:type="dxa"/>
        <w:left w:w="80" w:type="dxa"/>
        <w:bottom w:w="0" w:type="dxa"/>
        <w:right w:w="80" w:type="dxa"/>
      </w:tblCellMar>
    </w:tbl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Img1" Type="http://schemas.openxmlformats.org/officeDocument/2006/relationships/image" Target="media/figure01.png"/><Relationship Id="rIdImg2" Type="http://schemas.openxmlformats.org/officeDocument/2006/relationships/image" Target="media/figure02.png"/><Relationship Id="rIdImg3" Type="http://schemas.openxmlformats.org/officeDocument/2006/relationships/image" Target="media/figure03.png"/><Relationship Id="rIdImg4" Type="http://schemas.openxmlformats.org/officeDocument/2006/relationships/image" Target="media/figure04.png"/><Relationship Id="rIdImg5" Type="http://schemas.openxmlformats.org/officeDocument/2006/relationships/image" Target="media/figure05.png"/><Relationship Id="rIdImg6" Type="http://schemas.openxmlformats.org/officeDocument/2006/relationships/image" Target="media/figure06.png"/><Relationship Id="rIdImg7" Type="http://schemas.openxmlformats.org/officeDocument/2006/relationships/image" Target="media/figure07.png"/><Relationship Id="rIdImg8" Type="http://schemas.openxmlformats.org/officeDocument/2006/relationships/image" Target="media/figure08.png"/><Relationship Id="rIdImg9" Type="http://schemas.openxmlformats.org/officeDocument/2006/relationships/image" Target="media/figure09.png"/><Relationship Id="rIdImg10" Type="http://schemas.openxmlformats.org/officeDocument/2006/relationships/image" Target="media/figure10.png"/><Relationship Id="rIdImg11" Type="http://schemas.openxmlformats.org/officeDocument/2006/relationships/image" Target="media/figure11.png"/><Relationship Id="rIdImg12" Type="http://schemas.openxmlformats.org/officeDocument/2006/relationships/image" Target="media/figure12.png"/><Relationship Id="rIdImg13" Type="http://schemas.openxmlformats.org/officeDocument/2006/relationships/image" Target="media/figure13.png"/></Relationships>
</file>