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0"/>
        <w:jc w:val="left"/>
        <w:ind w:firstLineChars="200" w:firstLine="420"/>
      </w:pPr>
      <w:r>
        <w:rPr>
          <w:rFonts w:ascii="楷体_GB2312" w:hAnsi="楷体_GB2312" w:eastAsia="楷体_GB2312"/>
          <w:b/>
          <w:sz w:val="21"/>
        </w:rPr>
        <w:t>无锡苏南国际机场集团有限公司  主体：【待填】</w:t>
      </w:r>
    </w:p>
    <w:p>
      <w:pPr>
        <w:spacing w:lineRule="auto" w:line="276" w:before="0" w:after="0"/>
        <w:ind w:firstLineChars="200" w:firstLine="420"/>
      </w:pPr>
      <w:r>
        <w:rPr>
          <w:rFonts w:ascii="楷体_GB2312" w:hAnsi="楷体_GB2312" w:eastAsia="楷体_GB2312"/>
          <w:b/>
          <w:sz w:val="21"/>
        </w:rPr>
        <w:t>正面：</w:t>
      </w:r>
    </w:p>
    <w:p>
      <w:pPr>
        <w:spacing w:lineRule="auto" w:line="276" w:before="0" w:after="0"/>
        <w:ind w:firstLineChars="200" w:firstLine="420"/>
      </w:pPr>
      <w:r>
        <w:rPr>
          <w:rFonts w:ascii="楷体_GB2312" w:hAnsi="楷体_GB2312" w:eastAsia="楷体_GB2312"/>
          <w:b w:val="0"/>
          <w:sz w:val="21"/>
        </w:rPr>
        <w:t>1）公司负责苏南硕放国际机场的建设、运营与管理，是无锡、苏州两市共用的航空枢纽运营主体，区域地位具有较强不可替代性。</w:t>
      </w:r>
    </w:p>
    <w:p>
      <w:pPr>
        <w:spacing w:lineRule="auto" w:line="276" w:before="0" w:after="0"/>
        <w:ind w:firstLineChars="200" w:firstLine="420"/>
      </w:pPr>
      <w:r>
        <w:rPr>
          <w:rFonts w:ascii="楷体_GB2312" w:hAnsi="楷体_GB2312" w:eastAsia="楷体_GB2312"/>
          <w:b w:val="0"/>
          <w:sz w:val="21"/>
        </w:rPr>
        <w:t>2）无锡与苏州两市经济总量位居全国前列且互联互通持续推进，为机场客货业务量增长提供腹地支撑。</w:t>
      </w:r>
    </w:p>
    <w:p>
      <w:pPr>
        <w:spacing w:lineRule="auto" w:line="276" w:before="0" w:after="0"/>
        <w:ind w:firstLineChars="200" w:firstLine="420"/>
      </w:pPr>
      <w:r>
        <w:rPr>
          <w:rFonts w:ascii="楷体_GB2312" w:hAnsi="楷体_GB2312" w:eastAsia="楷体_GB2312"/>
          <w:b w:val="0"/>
          <w:sz w:val="21"/>
        </w:rPr>
        <w:t>3）航空性业务三大运营指标连续增长，旅客吞吐量突破千万人次，带动营业收入与经营获现同步改善。</w:t>
      </w:r>
    </w:p>
    <w:p>
      <w:pPr>
        <w:spacing w:lineRule="auto" w:line="276" w:before="0" w:after="0"/>
        <w:ind w:firstLineChars="200" w:firstLine="420"/>
      </w:pPr>
      <w:r>
        <w:rPr>
          <w:rFonts w:ascii="楷体_GB2312" w:hAnsi="楷体_GB2312" w:eastAsia="楷体_GB2312"/>
          <w:b w:val="0"/>
          <w:sz w:val="21"/>
        </w:rPr>
        <w:t>4）公司财务杠杆处于同行业较低水平，经营获现对利息的覆盖能力较强，备用流动性尚可。</w:t>
      </w:r>
    </w:p>
    <w:p>
      <w:pPr>
        <w:spacing w:lineRule="auto" w:line="276" w:before="0" w:after="0"/>
        <w:ind w:firstLineChars="200" w:firstLine="420"/>
      </w:pPr>
      <w:r>
        <w:rPr>
          <w:rFonts w:ascii="楷体_GB2312" w:hAnsi="楷体_GB2312" w:eastAsia="楷体_GB2312"/>
          <w:b/>
          <w:sz w:val="21"/>
        </w:rPr>
        <w:t>关注：</w:t>
      </w:r>
    </w:p>
    <w:p>
      <w:pPr>
        <w:spacing w:lineRule="auto" w:line="276" w:before="0" w:after="0"/>
        <w:ind w:firstLineChars="200" w:firstLine="420"/>
      </w:pPr>
      <w:r>
        <w:rPr>
          <w:rFonts w:ascii="楷体_GB2312" w:hAnsi="楷体_GB2312" w:eastAsia="楷体_GB2312"/>
          <w:b w:val="0"/>
          <w:sz w:val="21"/>
        </w:rPr>
        <w:t>1）苏南硕放国际机场设计容量与快速增长的航空性业务量之间矛盾显现，保障能力面临挑战。</w:t>
      </w:r>
    </w:p>
    <w:p>
      <w:pPr>
        <w:spacing w:lineRule="auto" w:line="276" w:before="0" w:after="0"/>
        <w:ind w:firstLineChars="200" w:firstLine="420"/>
      </w:pPr>
      <w:r>
        <w:rPr>
          <w:rFonts w:ascii="楷体_GB2312" w:hAnsi="楷体_GB2312" w:eastAsia="楷体_GB2312"/>
          <w:b w:val="0"/>
          <w:sz w:val="21"/>
        </w:rPr>
        <w:t>2）机场系军民合用机场，军方资产摊销等事项对成本与利润形成持续影响。</w:t>
      </w:r>
    </w:p>
    <w:p>
      <w:pPr>
        <w:spacing w:lineRule="auto" w:line="276" w:before="0" w:after="0"/>
        <w:ind w:firstLineChars="200" w:firstLine="420"/>
      </w:pPr>
      <w:r>
        <w:rPr>
          <w:rFonts w:ascii="楷体_GB2312" w:hAnsi="楷体_GB2312" w:eastAsia="楷体_GB2312"/>
          <w:b w:val="0"/>
          <w:sz w:val="21"/>
        </w:rPr>
        <w:t>3）非航板块中广告等业务受外部宣传方式冲击收入下滑，非航收入结构对单一板块依赖有所上升。</w:t>
      </w:r>
    </w:p>
    <w:p>
      <w:pPr>
        <w:spacing w:lineRule="auto" w:line="276" w:before="0" w:after="0"/>
        <w:ind w:firstLineChars="200" w:firstLine="420"/>
      </w:pPr>
      <w:r>
        <w:rPr>
          <w:rFonts w:ascii="楷体_GB2312" w:hAnsi="楷体_GB2312" w:eastAsia="楷体_GB2312"/>
          <w:b w:val="0"/>
          <w:sz w:val="21"/>
        </w:rPr>
        <w:t>4）在建工程规模较大且持续投入，未来仍存在一定资本支出与融资需求。</w:t>
      </w:r>
    </w:p>
    <w:p>
      <w:pPr>
        <w:spacing w:lineRule="auto" w:line="276" w:before="0" w:after="0"/>
        <w:jc w:val="left"/>
        <w:ind w:firstLineChars="200" w:firstLine="420"/>
      </w:pPr>
      <w:r>
        <w:rPr>
          <w:rFonts w:ascii="楷体_GB2312" w:hAnsi="楷体_GB2312" w:eastAsia="楷体_GB2312"/>
          <w:b/>
          <w:sz w:val="21"/>
        </w:rPr>
        <w:t>1、基本情况</w:t>
      </w:r>
    </w:p>
    <w:p>
      <w:pPr>
        <w:spacing w:lineRule="auto" w:line="276" w:before="0" w:after="0"/>
        <w:ind w:firstLineChars="200" w:firstLine="420"/>
      </w:pPr>
      <w:r>
        <w:rPr>
          <w:rFonts w:ascii="楷体_GB2312" w:hAnsi="楷体_GB2312" w:eastAsia="楷体_GB2312"/>
          <w:b w:val="0"/>
          <w:sz w:val="21"/>
        </w:rPr>
        <w:t>公司成立于2006年4月13日，前身为无锡空港产业投资有限公司，现注册资本255,000.00万元，实收资本244,500.00万元。公司主营苏南硕放国际机场民用部分的投资、经营管理及航空地面保障、代理等业务，收入主要来自航空性业务收费及租赁、货站操作、地面保障等非航延伸服务。股东为无锡市国发资本运营有限公司（持股66.67%）和无锡空港园区发展有限公司（持股33.33%），实际控制人为无锡市人民政府国有资产监督管理委员会。2023年2月三家股东各增资35,000.00万元，注册资本增至255,000.00万元，截至2025年3月末增资已到位9.45亿元、剩余1.05亿元尚未支付。公司未上市，2025年7月跟踪主体评级为AA+/稳定。截至2025年末纳入合并范围子公司13家。</w:t>
      </w:r>
    </w:p>
    <w:p>
      <w:pPr>
        <w:spacing w:lineRule="auto" w:line="276" w:before="0" w:after="0"/>
        <w:jc w:val="left"/>
        <w:ind w:firstLineChars="200" w:firstLine="420"/>
      </w:pPr>
      <w:r>
        <w:rPr>
          <w:rFonts w:ascii="楷体_GB2312" w:hAnsi="楷体_GB2312" w:eastAsia="楷体_GB2312"/>
          <w:b/>
          <w:sz w:val="21"/>
        </w:rPr>
        <w:t>2、点评</w:t>
      </w:r>
    </w:p>
    <w:p>
      <w:pPr>
        <w:spacing w:lineRule="auto" w:line="276" w:before="0" w:after="0"/>
        <w:ind w:firstLineChars="200" w:firstLine="420"/>
      </w:pPr>
      <w:r>
        <w:rPr>
          <w:rFonts w:ascii="楷体_GB2312" w:hAnsi="楷体_GB2312" w:eastAsia="楷体_GB2312"/>
          <w:b/>
          <w:sz w:val="21"/>
        </w:rPr>
        <w:t>公司收入来源于航空性收费与非航延伸服务两条主线，量由腹地客货需求与机场保障能力共同决定，价受民航收费政策与市场定价双重约束，整体经营与盈利呈修复态势。</w:t>
      </w:r>
      <w:r>
        <w:rPr>
          <w:rFonts w:ascii="楷体_GB2312" w:hAnsi="楷体_GB2312" w:eastAsia="楷体_GB2312"/>
          <w:b w:val="0"/>
          <w:sz w:val="21"/>
        </w:rPr>
        <w:t>从外部条件看，钱主要来自航空公司及货主、商户等付费方，量由无锡、苏州两市的出行与货运需求以及机场跑道、停机位等保障资源决定，价则航空性业务执行民航收费政策、非航业务按市场定价。2025年公司实现营业总收入8.08亿元，较2024年的7.12亿元增长，营业毛利率26.49%，较2024年的23.23%提升；2026年1-6月营业总收入3.95亿元，营业毛利率24.85%。收入结构上，航空性业务收入2024年为3.98亿元，非航业务收入3.14亿元，非航板块中地面保障服务、租赁、货站操作居前。整体来看，业务量增长带动收入与毛利改善，但利润总额规模仍薄，盈利对政府补助等非经营性项目依赖较强。</w:t>
      </w:r>
    </w:p>
    <w:p>
      <w:pPr>
        <w:spacing w:lineRule="auto" w:line="276" w:before="0" w:after="0"/>
        <w:jc w:val="right"/>
      </w:pPr>
      <w:r>
        <w:rPr>
          <w:rFonts w:ascii="楷体_GB2312" w:hAnsi="楷体_GB2312" w:eastAsia="楷体_GB2312"/>
          <w:b w:val="0"/>
          <w:sz w:val="21"/>
        </w:rPr>
        <w:t>单位：亿元</w:t>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3061"/>
          </w:tcPr>
          <w:p>
            <w:pPr>
              <w:spacing w:line="240" w:lineRule="auto" w:before="0" w:after="0"/>
              <w:jc w:val="center"/>
            </w:pPr>
            <w:r/>
            <w:r>
              <w:rPr>
                <w:rFonts w:ascii="楷体_GB2312" w:hAnsi="楷体_GB2312" w:eastAsia="楷体_GB2312"/>
                <w:b/>
                <w:sz w:val="21"/>
              </w:rPr>
              <w:t>业务板块</w:t>
            </w:r>
          </w:p>
        </w:tc>
        <w:tc>
          <w:tcPr>
            <w:tcW w:type="dxa" w:w="1928"/>
          </w:tcPr>
          <w:p>
            <w:pPr>
              <w:spacing w:line="240" w:lineRule="auto" w:before="0" w:after="0"/>
              <w:jc w:val="center"/>
            </w:pPr>
            <w:r/>
            <w:r>
              <w:rPr>
                <w:rFonts w:ascii="楷体_GB2312" w:hAnsi="楷体_GB2312" w:eastAsia="楷体_GB2312"/>
                <w:b/>
                <w:sz w:val="21"/>
              </w:rPr>
              <w:t>营业收入</w:t>
            </w:r>
          </w:p>
        </w:tc>
        <w:tc>
          <w:tcPr>
            <w:tcW w:type="dxa" w:w="1928"/>
          </w:tcPr>
          <w:p>
            <w:pPr>
              <w:spacing w:line="240" w:lineRule="auto" w:before="0" w:after="0"/>
              <w:jc w:val="center"/>
            </w:pPr>
            <w:r/>
            <w:r>
              <w:rPr>
                <w:rFonts w:ascii="楷体_GB2312" w:hAnsi="楷体_GB2312" w:eastAsia="楷体_GB2312"/>
                <w:b/>
                <w:sz w:val="21"/>
              </w:rPr>
              <w:t>收入占比</w:t>
            </w:r>
          </w:p>
        </w:tc>
        <w:tc>
          <w:tcPr>
            <w:tcW w:type="dxa" w:w="1928"/>
          </w:tcPr>
          <w:p>
            <w:pPr>
              <w:spacing w:line="240" w:lineRule="auto" w:before="0" w:after="0"/>
              <w:jc w:val="center"/>
            </w:pPr>
            <w:r/>
            <w:r>
              <w:rPr>
                <w:rFonts w:ascii="楷体_GB2312" w:hAnsi="楷体_GB2312" w:eastAsia="楷体_GB2312"/>
                <w:b/>
                <w:sz w:val="21"/>
              </w:rPr>
              <w:t>毛利率</w:t>
            </w:r>
          </w:p>
        </w:tc>
      </w:tr>
      <w:tr>
        <w:tc>
          <w:tcPr>
            <w:tcW w:type="dxa" w:w="3061"/>
          </w:tcPr>
          <w:p>
            <w:pPr>
              <w:spacing w:line="240" w:lineRule="auto" w:before="0" w:after="0"/>
              <w:jc w:val="left"/>
            </w:pPr>
            <w:r/>
            <w:r>
              <w:rPr>
                <w:rFonts w:ascii="楷体_GB2312" w:hAnsi="楷体_GB2312" w:eastAsia="楷体_GB2312"/>
                <w:b w:val="0"/>
                <w:sz w:val="21"/>
              </w:rPr>
              <w:t>航空性业务</w:t>
            </w:r>
          </w:p>
        </w:tc>
        <w:tc>
          <w:tcPr>
            <w:tcW w:type="dxa" w:w="1928"/>
          </w:tcPr>
          <w:p>
            <w:pPr>
              <w:spacing w:line="240" w:lineRule="auto" w:before="0" w:after="0"/>
              <w:jc w:val="right"/>
            </w:pPr>
            <w:r/>
            <w:r>
              <w:rPr>
                <w:rFonts w:ascii="楷体_GB2312" w:hAnsi="楷体_GB2312" w:eastAsia="楷体_GB2312"/>
                <w:b w:val="0"/>
                <w:sz w:val="21"/>
              </w:rPr>
              <w:t>3.98</w:t>
            </w:r>
          </w:p>
        </w:tc>
        <w:tc>
          <w:tcPr>
            <w:tcW w:type="dxa" w:w="1928"/>
          </w:tcPr>
          <w:p>
            <w:pPr>
              <w:spacing w:line="240" w:lineRule="auto" w:before="0" w:after="0"/>
              <w:jc w:val="right"/>
            </w:pPr>
            <w:r/>
            <w:r>
              <w:rPr>
                <w:rFonts w:ascii="楷体_GB2312" w:hAnsi="楷体_GB2312" w:eastAsia="楷体_GB2312"/>
                <w:b w:val="0"/>
                <w:sz w:val="21"/>
              </w:rPr>
              <w:t>55.90%</w:t>
            </w:r>
          </w:p>
        </w:tc>
        <w:tc>
          <w:tcPr>
            <w:tcW w:type="dxa" w:w="1928"/>
          </w:tcPr>
          <w:p>
            <w:pPr>
              <w:spacing w:line="240" w:lineRule="auto" w:before="0" w:after="0"/>
              <w:jc w:val="right"/>
            </w:pPr>
            <w:r/>
            <w:r>
              <w:rPr>
                <w:rFonts w:ascii="楷体_GB2312" w:hAnsi="楷体_GB2312" w:eastAsia="楷体_GB2312"/>
                <w:b w:val="0"/>
                <w:sz w:val="21"/>
              </w:rPr>
            </w:r>
          </w:p>
        </w:tc>
      </w:tr>
      <w:tr>
        <w:tc>
          <w:tcPr>
            <w:tcW w:type="dxa" w:w="3061"/>
          </w:tcPr>
          <w:p>
            <w:pPr>
              <w:spacing w:line="240" w:lineRule="auto" w:before="0" w:after="0"/>
              <w:jc w:val="left"/>
            </w:pPr>
            <w:r/>
            <w:r>
              <w:rPr>
                <w:rFonts w:ascii="楷体_GB2312" w:hAnsi="楷体_GB2312" w:eastAsia="楷体_GB2312"/>
                <w:b w:val="0"/>
                <w:sz w:val="21"/>
              </w:rPr>
              <w:t>非航空性业务</w:t>
            </w:r>
          </w:p>
        </w:tc>
        <w:tc>
          <w:tcPr>
            <w:tcW w:type="dxa" w:w="1928"/>
          </w:tcPr>
          <w:p>
            <w:pPr>
              <w:spacing w:line="240" w:lineRule="auto" w:before="0" w:after="0"/>
              <w:jc w:val="right"/>
            </w:pPr>
            <w:r/>
            <w:r>
              <w:rPr>
                <w:rFonts w:ascii="楷体_GB2312" w:hAnsi="楷体_GB2312" w:eastAsia="楷体_GB2312"/>
                <w:b w:val="0"/>
                <w:sz w:val="21"/>
              </w:rPr>
              <w:t>3.14</w:t>
            </w:r>
          </w:p>
        </w:tc>
        <w:tc>
          <w:tcPr>
            <w:tcW w:type="dxa" w:w="1928"/>
          </w:tcPr>
          <w:p>
            <w:pPr>
              <w:spacing w:line="240" w:lineRule="auto" w:before="0" w:after="0"/>
              <w:jc w:val="right"/>
            </w:pPr>
            <w:r/>
            <w:r>
              <w:rPr>
                <w:rFonts w:ascii="楷体_GB2312" w:hAnsi="楷体_GB2312" w:eastAsia="楷体_GB2312"/>
                <w:b w:val="0"/>
                <w:sz w:val="21"/>
              </w:rPr>
              <w:t>44.10%</w:t>
            </w:r>
          </w:p>
        </w:tc>
        <w:tc>
          <w:tcPr>
            <w:tcW w:type="dxa" w:w="1928"/>
          </w:tcPr>
          <w:p>
            <w:pPr>
              <w:spacing w:line="240" w:lineRule="auto" w:before="0" w:after="0"/>
              <w:jc w:val="right"/>
            </w:pPr>
            <w:r/>
            <w:r>
              <w:rPr>
                <w:rFonts w:ascii="楷体_GB2312" w:hAnsi="楷体_GB2312" w:eastAsia="楷体_GB2312"/>
                <w:b w:val="0"/>
                <w:sz w:val="21"/>
              </w:rPr>
            </w:r>
          </w:p>
        </w:tc>
      </w:tr>
      <w:tr>
        <w:tc>
          <w:tcPr>
            <w:tcW w:type="dxa" w:w="3061"/>
          </w:tcPr>
          <w:p>
            <w:pPr>
              <w:spacing w:line="240" w:lineRule="auto" w:before="0" w:after="0"/>
              <w:jc w:val="left"/>
            </w:pPr>
            <w:r/>
            <w:r>
              <w:rPr>
                <w:rFonts w:ascii="楷体_GB2312" w:hAnsi="楷体_GB2312" w:eastAsia="楷体_GB2312"/>
                <w:b/>
                <w:sz w:val="21"/>
              </w:rPr>
              <w:t>营业总收入</w:t>
            </w:r>
          </w:p>
        </w:tc>
        <w:tc>
          <w:tcPr>
            <w:tcW w:type="dxa" w:w="1928"/>
          </w:tcPr>
          <w:p>
            <w:pPr>
              <w:spacing w:line="240" w:lineRule="auto" w:before="0" w:after="0"/>
              <w:jc w:val="right"/>
            </w:pPr>
            <w:r/>
            <w:r>
              <w:rPr>
                <w:rFonts w:ascii="楷体_GB2312" w:hAnsi="楷体_GB2312" w:eastAsia="楷体_GB2312"/>
                <w:b/>
                <w:sz w:val="21"/>
              </w:rPr>
              <w:t>7.12</w:t>
            </w:r>
          </w:p>
        </w:tc>
        <w:tc>
          <w:tcPr>
            <w:tcW w:type="dxa" w:w="1928"/>
          </w:tcPr>
          <w:p>
            <w:pPr>
              <w:spacing w:line="240" w:lineRule="auto" w:before="0" w:after="0"/>
              <w:jc w:val="right"/>
            </w:pPr>
            <w:r/>
            <w:r>
              <w:rPr>
                <w:rFonts w:ascii="楷体_GB2312" w:hAnsi="楷体_GB2312" w:eastAsia="楷体_GB2312"/>
                <w:b/>
                <w:sz w:val="21"/>
              </w:rPr>
              <w:t>100.00%</w:t>
            </w:r>
          </w:p>
        </w:tc>
        <w:tc>
          <w:tcPr>
            <w:tcW w:type="dxa" w:w="1928"/>
          </w:tcPr>
          <w:p>
            <w:pPr>
              <w:spacing w:line="240" w:lineRule="auto" w:before="0" w:after="0"/>
              <w:jc w:val="right"/>
            </w:pPr>
            <w:r/>
            <w:r>
              <w:rPr>
                <w:rFonts w:ascii="楷体_GB2312" w:hAnsi="楷体_GB2312" w:eastAsia="楷体_GB2312"/>
                <w:b/>
                <w:sz w:val="21"/>
              </w:rPr>
            </w:r>
          </w:p>
        </w:tc>
      </w:tr>
    </w:tbl>
    <w:p>
      <w:pPr>
        <w:spacing w:lineRule="auto" w:line="276" w:before="0" w:after="0"/>
        <w:ind w:firstLineChars="200" w:firstLine="420"/>
      </w:pPr>
      <w:r>
        <w:rPr>
          <w:rFonts w:ascii="楷体_GB2312" w:hAnsi="楷体_GB2312" w:eastAsia="楷体_GB2312"/>
          <w:b w:val="0"/>
          <w:sz w:val="21"/>
        </w:rPr>
        <w:t>1）航空性业务业务方面，公司航空性业务由下属苏南硕放国际机场有限公司运营，向航空公司收取飞机起降服务费、旅客服务费及安检服务费等，产出量以旅客吞吐量、货邮吞吐量和飞机起降架次计量。2024年旅客吞吐量1,050.43万人次，同比增长19.40%，其中国际及地区航线81.89万人次，同比增长132.34%；货邮吞吐量17.35万吨，同比增长38.18%；飞机起降架次8.13万架次，同比增长13.48%。2025年1-3月旅客吞吐量258.86万人次，同比增长4.20%，货邮吞吐量4.21万吨，同比增长15.28%。收入方面，2024年航空性业务收入3.98亿元，较2023年的3.34亿元增长，主要受业务量上升带动；航空性业务毛利率2023年为10.37%，2024年1-3月为11.64%，成本以人工、折旧及运行维护为主。项目储备上，苏南硕放改扩建工程持续推进，截至2025年3月末已投资22.07亿元，预计2026年建成投用后货邮保障能力提升至50万吨/年。该板块风险点在于机场设计容量为1,200万人次/年，业务量快速增长对保障能力形成压力，且军民合用属性对运营安排存在潜在影响。</w:t>
      </w:r>
    </w:p>
    <w:p>
      <w:pPr>
        <w:spacing w:lineRule="auto" w:line="276" w:before="0" w:after="0"/>
        <w:ind w:firstLineChars="200" w:firstLine="420"/>
      </w:pPr>
      <w:r>
        <w:rPr>
          <w:rFonts w:ascii="楷体_GB2312" w:hAnsi="楷体_GB2312" w:eastAsia="楷体_GB2312"/>
          <w:b w:val="0"/>
          <w:sz w:val="21"/>
        </w:rPr>
        <w:t>2）非航空性业务业务方面，非航业务主要包括地面保障服务、租赁、货站操作、贵宾服务、停车场、广告等，由机场公司及空港物流、机场经营管理等子公司运营，收入与旅客吞吐量、货邮吞吐量及商业资源出租率高度联动。2024年非航业务收入3.14亿元，较2023年的2.31亿元增长，其中地面保障服务收入0.88亿元、租赁收入0.75亿元、货站操作费收入0.43亿元、贵宾服务收入0.29亿元、停车场收入0.17亿元、广告收入0.10亿元。货站操作收入同比增长38.71%，与货邮吞吐量高增匹配；停车场收入与上年基本持平，受周边停车场分流及商务旅客占比下降影响；广告收入同比下降9.09%，受自媒体等宣传方式冲击。成本端以人工、场地折旧及外包服务为主，非航业务毛利率2023年为20.74%，2024年1-3月回升至51.26%，主要受收入增长摊薄固定成本带动。该板块风险点在于广告等细分业务增长空间受限，非航收入对地面保障与租赁的集中度较高。</w:t>
      </w:r>
    </w:p>
    <w:p>
      <w:pPr>
        <w:spacing w:lineRule="auto" w:line="276" w:before="0" w:after="0"/>
        <w:ind w:firstLineChars="200" w:firstLine="420"/>
      </w:pPr>
      <w:r>
        <w:rPr>
          <w:rFonts w:ascii="楷体_GB2312" w:hAnsi="楷体_GB2312" w:eastAsia="楷体_GB2312"/>
          <w:b/>
          <w:sz w:val="21"/>
        </w:rPr>
        <w:t>公司资产以在建工程、固定资产等非流动资产为主，资产规模随改扩建投入持续扩张，整体资产质量尚可但流动性偏弱。</w:t>
      </w:r>
      <w:r>
        <w:rPr>
          <w:rFonts w:ascii="楷体_GB2312" w:hAnsi="楷体_GB2312" w:eastAsia="楷体_GB2312"/>
          <w:b w:val="0"/>
          <w:sz w:val="21"/>
        </w:rPr>
        <w:t>2026年6月末公司总资产73.50亿元，较2025年末的72.17亿元进一步增长。按2026年6月末实际金额降序，前五大科目为：在建工程24.03亿元，主要为苏南硕放改扩建工程等尚未转固的建设项目；固定资产18.79亿元，以房屋建筑物、机器设备等机场运营资产为主；存货8.35亿元，主要为待开发的土地资产；货币资金8.35亿元，以银行存款为主，含少量保函保证金等受限资金；应收账款1.26亿元，主要为对深圳航空、东方航空等航空公司的地面服务及起降费往来款，账龄以一年以内为主。整体来看，非流动资产占比高，在建工程与固定资产合计占总资产比重较大，资产变现能力一般；存货中待开发土地变现周期长，对流动性形成一定制约。</w:t>
      </w:r>
    </w:p>
    <w:p>
      <w:pPr>
        <w:spacing w:lineRule="auto" w:line="276" w:before="0" w:after="0"/>
        <w:jc w:val="center"/>
        <w:ind w:firstLineChars="200" w:firstLine="420"/>
      </w:pPr>
      <w:r>
        <w:rPr>
          <w:rFonts w:ascii="楷体_GB2312" w:hAnsi="楷体_GB2312" w:eastAsia="楷体_GB2312"/>
          <w:b/>
          <w:sz w:val="21"/>
        </w:rPr>
        <w:t>公司主要财务数据和财务指标（合并口径）</w:t>
      </w:r>
    </w:p>
    <w:p>
      <w:pPr>
        <w:spacing w:lineRule="auto" w:line="276" w:before="0" w:after="0"/>
        <w:jc w:val="right"/>
      </w:pPr>
      <w:r>
        <w:rPr>
          <w:rFonts w:ascii="楷体_GB2312" w:hAnsi="楷体_GB2312" w:eastAsia="楷体_GB2312"/>
          <w:b w:val="0"/>
          <w:sz w:val="21"/>
        </w:rPr>
        <w:t>单位：亿元</w:t>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2835"/>
          </w:tcPr>
          <w:p>
            <w:pPr>
              <w:spacing w:line="240" w:lineRule="auto" w:before="0" w:after="0"/>
              <w:jc w:val="center"/>
            </w:pPr>
            <w:r/>
            <w:r>
              <w:rPr>
                <w:rFonts w:ascii="楷体_GB2312" w:hAnsi="楷体_GB2312" w:eastAsia="楷体_GB2312"/>
                <w:b/>
                <w:sz w:val="21"/>
              </w:rPr>
              <w:t>项目</w:t>
            </w:r>
          </w:p>
        </w:tc>
        <w:tc>
          <w:tcPr>
            <w:tcW w:type="dxa" w:w="1066"/>
          </w:tcPr>
          <w:p>
            <w:pPr>
              <w:spacing w:line="240" w:lineRule="auto" w:before="0" w:after="0"/>
              <w:jc w:val="center"/>
            </w:pPr>
            <w:r/>
            <w:r>
              <w:rPr>
                <w:rFonts w:ascii="楷体_GB2312" w:hAnsi="楷体_GB2312" w:eastAsia="楷体_GB2312"/>
                <w:b/>
                <w:sz w:val="21"/>
              </w:rPr>
              <w:t>2026年6月末</w:t>
            </w:r>
          </w:p>
        </w:tc>
        <w:tc>
          <w:tcPr>
            <w:tcW w:type="dxa" w:w="1066"/>
          </w:tcPr>
          <w:p>
            <w:pPr>
              <w:spacing w:line="240" w:lineRule="auto" w:before="0" w:after="0"/>
              <w:jc w:val="center"/>
            </w:pPr>
            <w:r/>
            <w:r>
              <w:rPr>
                <w:rFonts w:ascii="楷体_GB2312" w:hAnsi="楷体_GB2312" w:eastAsia="楷体_GB2312"/>
                <w:b/>
                <w:sz w:val="21"/>
              </w:rPr>
              <w:t>2025年</w:t>
            </w:r>
          </w:p>
        </w:tc>
        <w:tc>
          <w:tcPr>
            <w:tcW w:type="dxa" w:w="1066"/>
          </w:tcPr>
          <w:p>
            <w:pPr>
              <w:spacing w:line="240" w:lineRule="auto" w:before="0" w:after="0"/>
              <w:jc w:val="center"/>
            </w:pPr>
            <w:r/>
            <w:r>
              <w:rPr>
                <w:rFonts w:ascii="楷体_GB2312" w:hAnsi="楷体_GB2312" w:eastAsia="楷体_GB2312"/>
                <w:b/>
                <w:sz w:val="21"/>
              </w:rPr>
              <w:t>2024年</w:t>
            </w:r>
          </w:p>
        </w:tc>
        <w:tc>
          <w:tcPr>
            <w:tcW w:type="dxa" w:w="1066"/>
          </w:tcPr>
          <w:p>
            <w:pPr>
              <w:spacing w:line="240" w:lineRule="auto" w:before="0" w:after="0"/>
              <w:jc w:val="center"/>
            </w:pPr>
            <w:r/>
            <w:r>
              <w:rPr>
                <w:rFonts w:ascii="楷体_GB2312" w:hAnsi="楷体_GB2312" w:eastAsia="楷体_GB2312"/>
                <w:b/>
                <w:sz w:val="21"/>
              </w:rPr>
              <w:t>2023年</w:t>
            </w:r>
          </w:p>
        </w:tc>
      </w:tr>
      <w:tr>
        <w:tc>
          <w:tcPr>
            <w:tcW w:type="dxa" w:w="2835"/>
          </w:tcPr>
          <w:p>
            <w:pPr>
              <w:spacing w:line="240" w:lineRule="auto" w:before="0" w:after="0"/>
              <w:jc w:val="left"/>
            </w:pPr>
            <w:r/>
            <w:r>
              <w:rPr>
                <w:rFonts w:ascii="楷体_GB2312" w:hAnsi="楷体_GB2312" w:eastAsia="楷体_GB2312"/>
                <w:b w:val="0"/>
                <w:sz w:val="21"/>
              </w:rPr>
              <w:t>资产总额</w:t>
            </w:r>
          </w:p>
        </w:tc>
        <w:tc>
          <w:tcPr>
            <w:tcW w:type="dxa" w:w="1066"/>
          </w:tcPr>
          <w:p>
            <w:pPr>
              <w:spacing w:line="240" w:lineRule="auto" w:before="0" w:after="0"/>
              <w:jc w:val="right"/>
            </w:pPr>
            <w:r/>
            <w:r>
              <w:rPr>
                <w:rFonts w:ascii="楷体_GB2312" w:hAnsi="楷体_GB2312" w:eastAsia="楷体_GB2312"/>
                <w:b w:val="0"/>
                <w:sz w:val="21"/>
              </w:rPr>
              <w:t>73.50</w:t>
            </w:r>
          </w:p>
        </w:tc>
        <w:tc>
          <w:tcPr>
            <w:tcW w:type="dxa" w:w="1066"/>
          </w:tcPr>
          <w:p>
            <w:pPr>
              <w:spacing w:line="240" w:lineRule="auto" w:before="0" w:after="0"/>
              <w:jc w:val="right"/>
            </w:pPr>
            <w:r/>
            <w:r>
              <w:rPr>
                <w:rFonts w:ascii="楷体_GB2312" w:hAnsi="楷体_GB2312" w:eastAsia="楷体_GB2312"/>
                <w:b w:val="0"/>
                <w:sz w:val="21"/>
              </w:rPr>
              <w:t>72.17</w:t>
            </w:r>
          </w:p>
        </w:tc>
        <w:tc>
          <w:tcPr>
            <w:tcW w:type="dxa" w:w="1066"/>
          </w:tcPr>
          <w:p>
            <w:pPr>
              <w:spacing w:line="240" w:lineRule="auto" w:before="0" w:after="0"/>
              <w:jc w:val="right"/>
            </w:pPr>
            <w:r/>
            <w:r>
              <w:rPr>
                <w:rFonts w:ascii="楷体_GB2312" w:hAnsi="楷体_GB2312" w:eastAsia="楷体_GB2312"/>
                <w:b w:val="0"/>
                <w:sz w:val="21"/>
              </w:rPr>
              <w:t>68.77</w:t>
            </w:r>
          </w:p>
        </w:tc>
        <w:tc>
          <w:tcPr>
            <w:tcW w:type="dxa" w:w="1066"/>
          </w:tcPr>
          <w:p>
            <w:pPr>
              <w:spacing w:line="240" w:lineRule="auto" w:before="0" w:after="0"/>
              <w:jc w:val="right"/>
            </w:pPr>
            <w:r/>
            <w:r>
              <w:rPr>
                <w:rFonts w:ascii="楷体_GB2312" w:hAnsi="楷体_GB2312" w:eastAsia="楷体_GB2312"/>
                <w:b w:val="0"/>
                <w:sz w:val="21"/>
              </w:rPr>
              <w:t>54.62</w:t>
            </w:r>
          </w:p>
        </w:tc>
      </w:tr>
      <w:tr>
        <w:tc>
          <w:tcPr>
            <w:tcW w:type="dxa" w:w="2835"/>
          </w:tcPr>
          <w:p>
            <w:pPr>
              <w:spacing w:line="240" w:lineRule="auto" w:before="0" w:after="0"/>
              <w:jc w:val="left"/>
            </w:pPr>
            <w:r/>
            <w:r>
              <w:rPr>
                <w:rFonts w:ascii="楷体_GB2312" w:hAnsi="楷体_GB2312" w:eastAsia="楷体_GB2312"/>
                <w:b w:val="0"/>
                <w:sz w:val="21"/>
              </w:rPr>
              <w:t>负债总额</w:t>
            </w:r>
          </w:p>
        </w:tc>
        <w:tc>
          <w:tcPr>
            <w:tcW w:type="dxa" w:w="1066"/>
          </w:tcPr>
          <w:p>
            <w:pPr>
              <w:spacing w:line="240" w:lineRule="auto" w:before="0" w:after="0"/>
              <w:jc w:val="right"/>
            </w:pPr>
            <w:r/>
            <w:r>
              <w:rPr>
                <w:rFonts w:ascii="楷体_GB2312" w:hAnsi="楷体_GB2312" w:eastAsia="楷体_GB2312"/>
                <w:b w:val="0"/>
                <w:sz w:val="21"/>
              </w:rPr>
              <w:t>35.65</w:t>
            </w:r>
          </w:p>
        </w:tc>
        <w:tc>
          <w:tcPr>
            <w:tcW w:type="dxa" w:w="1066"/>
          </w:tcPr>
          <w:p>
            <w:pPr>
              <w:spacing w:line="240" w:lineRule="auto" w:before="0" w:after="0"/>
              <w:jc w:val="right"/>
            </w:pPr>
            <w:r/>
            <w:r>
              <w:rPr>
                <w:rFonts w:ascii="楷体_GB2312" w:hAnsi="楷体_GB2312" w:eastAsia="楷体_GB2312"/>
                <w:b w:val="0"/>
                <w:sz w:val="21"/>
              </w:rPr>
              <w:t>34.34</w:t>
            </w:r>
          </w:p>
        </w:tc>
        <w:tc>
          <w:tcPr>
            <w:tcW w:type="dxa" w:w="1066"/>
          </w:tcPr>
          <w:p>
            <w:pPr>
              <w:spacing w:line="240" w:lineRule="auto" w:before="0" w:after="0"/>
              <w:jc w:val="right"/>
            </w:pPr>
            <w:r/>
            <w:r>
              <w:rPr>
                <w:rFonts w:ascii="楷体_GB2312" w:hAnsi="楷体_GB2312" w:eastAsia="楷体_GB2312"/>
                <w:b w:val="0"/>
                <w:sz w:val="21"/>
              </w:rPr>
              <w:t>31.14</w:t>
            </w:r>
          </w:p>
        </w:tc>
        <w:tc>
          <w:tcPr>
            <w:tcW w:type="dxa" w:w="1066"/>
          </w:tcPr>
          <w:p>
            <w:pPr>
              <w:spacing w:line="240" w:lineRule="auto" w:before="0" w:after="0"/>
              <w:jc w:val="right"/>
            </w:pPr>
            <w:r/>
            <w:r>
              <w:rPr>
                <w:rFonts w:ascii="楷体_GB2312" w:hAnsi="楷体_GB2312" w:eastAsia="楷体_GB2312"/>
                <w:b w:val="0"/>
                <w:sz w:val="21"/>
              </w:rPr>
              <w:t>17.07</w:t>
            </w:r>
          </w:p>
        </w:tc>
      </w:tr>
      <w:tr>
        <w:tc>
          <w:tcPr>
            <w:tcW w:type="dxa" w:w="2835"/>
          </w:tcPr>
          <w:p>
            <w:pPr>
              <w:spacing w:line="240" w:lineRule="auto" w:before="0" w:after="0"/>
              <w:jc w:val="left"/>
            </w:pPr>
            <w:r/>
            <w:r>
              <w:rPr>
                <w:rFonts w:ascii="楷体_GB2312" w:hAnsi="楷体_GB2312" w:eastAsia="楷体_GB2312"/>
                <w:b w:val="0"/>
                <w:sz w:val="21"/>
              </w:rPr>
              <w:t>所有者权益</w:t>
            </w:r>
          </w:p>
        </w:tc>
        <w:tc>
          <w:tcPr>
            <w:tcW w:type="dxa" w:w="1066"/>
          </w:tcPr>
          <w:p>
            <w:pPr>
              <w:spacing w:line="240" w:lineRule="auto" w:before="0" w:after="0"/>
              <w:jc w:val="right"/>
            </w:pPr>
            <w:r/>
            <w:r>
              <w:rPr>
                <w:rFonts w:ascii="楷体_GB2312" w:hAnsi="楷体_GB2312" w:eastAsia="楷体_GB2312"/>
                <w:b w:val="0"/>
                <w:sz w:val="21"/>
              </w:rPr>
              <w:t>37.85</w:t>
            </w:r>
          </w:p>
        </w:tc>
        <w:tc>
          <w:tcPr>
            <w:tcW w:type="dxa" w:w="1066"/>
          </w:tcPr>
          <w:p>
            <w:pPr>
              <w:spacing w:line="240" w:lineRule="auto" w:before="0" w:after="0"/>
              <w:jc w:val="right"/>
            </w:pPr>
            <w:r/>
            <w:r>
              <w:rPr>
                <w:rFonts w:ascii="楷体_GB2312" w:hAnsi="楷体_GB2312" w:eastAsia="楷体_GB2312"/>
                <w:b w:val="0"/>
                <w:sz w:val="21"/>
              </w:rPr>
              <w:t>37.83</w:t>
            </w:r>
          </w:p>
        </w:tc>
        <w:tc>
          <w:tcPr>
            <w:tcW w:type="dxa" w:w="1066"/>
          </w:tcPr>
          <w:p>
            <w:pPr>
              <w:spacing w:line="240" w:lineRule="auto" w:before="0" w:after="0"/>
              <w:jc w:val="right"/>
            </w:pPr>
            <w:r/>
            <w:r>
              <w:rPr>
                <w:rFonts w:ascii="楷体_GB2312" w:hAnsi="楷体_GB2312" w:eastAsia="楷体_GB2312"/>
                <w:b w:val="0"/>
                <w:sz w:val="21"/>
              </w:rPr>
              <w:t>37.63</w:t>
            </w:r>
          </w:p>
        </w:tc>
        <w:tc>
          <w:tcPr>
            <w:tcW w:type="dxa" w:w="1066"/>
          </w:tcPr>
          <w:p>
            <w:pPr>
              <w:spacing w:line="240" w:lineRule="auto" w:before="0" w:after="0"/>
              <w:jc w:val="right"/>
            </w:pPr>
            <w:r/>
            <w:r>
              <w:rPr>
                <w:rFonts w:ascii="楷体_GB2312" w:hAnsi="楷体_GB2312" w:eastAsia="楷体_GB2312"/>
                <w:b w:val="0"/>
                <w:sz w:val="21"/>
              </w:rPr>
              <w:t>37.55</w:t>
            </w:r>
          </w:p>
        </w:tc>
      </w:tr>
      <w:tr>
        <w:tc>
          <w:tcPr>
            <w:tcW w:type="dxa" w:w="2835"/>
          </w:tcPr>
          <w:p>
            <w:pPr>
              <w:spacing w:line="240" w:lineRule="auto" w:before="0" w:after="0"/>
              <w:jc w:val="left"/>
            </w:pPr>
            <w:r/>
            <w:r>
              <w:rPr>
                <w:rFonts w:ascii="楷体_GB2312" w:hAnsi="楷体_GB2312" w:eastAsia="楷体_GB2312"/>
                <w:b w:val="0"/>
                <w:sz w:val="21"/>
              </w:rPr>
              <w:t>资产负债率</w:t>
            </w:r>
          </w:p>
        </w:tc>
        <w:tc>
          <w:tcPr>
            <w:tcW w:type="dxa" w:w="1066"/>
          </w:tcPr>
          <w:p>
            <w:pPr>
              <w:spacing w:line="240" w:lineRule="auto" w:before="0" w:after="0"/>
              <w:jc w:val="right"/>
            </w:pPr>
            <w:r/>
            <w:r>
              <w:rPr>
                <w:rFonts w:ascii="楷体_GB2312" w:hAnsi="楷体_GB2312" w:eastAsia="楷体_GB2312"/>
                <w:b w:val="0"/>
                <w:sz w:val="21"/>
              </w:rPr>
              <w:t>48.50%</w:t>
            </w:r>
          </w:p>
        </w:tc>
        <w:tc>
          <w:tcPr>
            <w:tcW w:type="dxa" w:w="1066"/>
          </w:tcPr>
          <w:p>
            <w:pPr>
              <w:spacing w:line="240" w:lineRule="auto" w:before="0" w:after="0"/>
              <w:jc w:val="right"/>
            </w:pPr>
            <w:r/>
            <w:r>
              <w:rPr>
                <w:rFonts w:ascii="楷体_GB2312" w:hAnsi="楷体_GB2312" w:eastAsia="楷体_GB2312"/>
                <w:b w:val="0"/>
                <w:sz w:val="21"/>
              </w:rPr>
              <w:t>47.58%</w:t>
            </w:r>
          </w:p>
        </w:tc>
        <w:tc>
          <w:tcPr>
            <w:tcW w:type="dxa" w:w="1066"/>
          </w:tcPr>
          <w:p>
            <w:pPr>
              <w:spacing w:line="240" w:lineRule="auto" w:before="0" w:after="0"/>
              <w:jc w:val="right"/>
            </w:pPr>
            <w:r/>
            <w:r>
              <w:rPr>
                <w:rFonts w:ascii="楷体_GB2312" w:hAnsi="楷体_GB2312" w:eastAsia="楷体_GB2312"/>
                <w:b w:val="0"/>
                <w:sz w:val="21"/>
              </w:rPr>
              <w:t>45.28%</w:t>
            </w:r>
          </w:p>
        </w:tc>
        <w:tc>
          <w:tcPr>
            <w:tcW w:type="dxa" w:w="1066"/>
          </w:tcPr>
          <w:p>
            <w:pPr>
              <w:spacing w:line="240" w:lineRule="auto" w:before="0" w:after="0"/>
              <w:jc w:val="right"/>
            </w:pPr>
            <w:r/>
            <w:r>
              <w:rPr>
                <w:rFonts w:ascii="楷体_GB2312" w:hAnsi="楷体_GB2312" w:eastAsia="楷体_GB2312"/>
                <w:b w:val="0"/>
                <w:sz w:val="21"/>
              </w:rPr>
              <w:t>31.25%</w:t>
            </w:r>
          </w:p>
        </w:tc>
      </w:tr>
      <w:tr>
        <w:tc>
          <w:tcPr>
            <w:tcW w:type="dxa" w:w="2835"/>
          </w:tcPr>
          <w:p>
            <w:pPr>
              <w:spacing w:line="240" w:lineRule="auto" w:before="0" w:after="0"/>
              <w:jc w:val="left"/>
            </w:pPr>
            <w:r/>
            <w:r>
              <w:rPr>
                <w:rFonts w:ascii="楷体_GB2312" w:hAnsi="楷体_GB2312" w:eastAsia="楷体_GB2312"/>
                <w:b w:val="0"/>
                <w:sz w:val="21"/>
              </w:rPr>
              <w:t>在建工程</w:t>
            </w:r>
          </w:p>
        </w:tc>
        <w:tc>
          <w:tcPr>
            <w:tcW w:type="dxa" w:w="1066"/>
          </w:tcPr>
          <w:p>
            <w:pPr>
              <w:spacing w:line="240" w:lineRule="auto" w:before="0" w:after="0"/>
              <w:jc w:val="right"/>
            </w:pPr>
            <w:r/>
            <w:r>
              <w:rPr>
                <w:rFonts w:ascii="楷体_GB2312" w:hAnsi="楷体_GB2312" w:eastAsia="楷体_GB2312"/>
                <w:b w:val="0"/>
                <w:sz w:val="21"/>
              </w:rPr>
              <w:t>24.03</w:t>
            </w:r>
          </w:p>
        </w:tc>
        <w:tc>
          <w:tcPr>
            <w:tcW w:type="dxa" w:w="1066"/>
          </w:tcPr>
          <w:p>
            <w:pPr>
              <w:spacing w:line="240" w:lineRule="auto" w:before="0" w:after="0"/>
              <w:jc w:val="right"/>
            </w:pPr>
            <w:r/>
            <w:r>
              <w:rPr>
                <w:rFonts w:ascii="楷体_GB2312" w:hAnsi="楷体_GB2312" w:eastAsia="楷体_GB2312"/>
                <w:b w:val="0"/>
                <w:sz w:val="21"/>
              </w:rPr>
              <w:t>23.35</w:t>
            </w:r>
          </w:p>
        </w:tc>
        <w:tc>
          <w:tcPr>
            <w:tcW w:type="dxa" w:w="1066"/>
          </w:tcPr>
          <w:p>
            <w:pPr>
              <w:spacing w:line="240" w:lineRule="auto" w:before="0" w:after="0"/>
              <w:jc w:val="right"/>
            </w:pPr>
            <w:r/>
            <w:r>
              <w:rPr>
                <w:rFonts w:ascii="楷体_GB2312" w:hAnsi="楷体_GB2312" w:eastAsia="楷体_GB2312"/>
                <w:b w:val="0"/>
                <w:sz w:val="21"/>
              </w:rPr>
              <w:t>17.54</w:t>
            </w:r>
          </w:p>
        </w:tc>
        <w:tc>
          <w:tcPr>
            <w:tcW w:type="dxa" w:w="1066"/>
          </w:tcPr>
          <w:p>
            <w:pPr>
              <w:spacing w:line="240" w:lineRule="auto" w:before="0" w:after="0"/>
              <w:jc w:val="right"/>
            </w:pPr>
            <w:r/>
            <w:r>
              <w:rPr>
                <w:rFonts w:ascii="楷体_GB2312" w:hAnsi="楷体_GB2312" w:eastAsia="楷体_GB2312"/>
                <w:b w:val="0"/>
                <w:sz w:val="21"/>
              </w:rPr>
              <w:t>13.69</w:t>
            </w:r>
          </w:p>
        </w:tc>
      </w:tr>
      <w:tr>
        <w:tc>
          <w:tcPr>
            <w:tcW w:type="dxa" w:w="2835"/>
          </w:tcPr>
          <w:p>
            <w:pPr>
              <w:spacing w:line="240" w:lineRule="auto" w:before="0" w:after="0"/>
              <w:jc w:val="left"/>
            </w:pPr>
            <w:r/>
            <w:r>
              <w:rPr>
                <w:rFonts w:ascii="楷体_GB2312" w:hAnsi="楷体_GB2312" w:eastAsia="楷体_GB2312"/>
                <w:b w:val="0"/>
                <w:sz w:val="21"/>
              </w:rPr>
              <w:t>营业总收入</w:t>
            </w:r>
          </w:p>
        </w:tc>
        <w:tc>
          <w:tcPr>
            <w:tcW w:type="dxa" w:w="1066"/>
          </w:tcPr>
          <w:p>
            <w:pPr>
              <w:spacing w:line="240" w:lineRule="auto" w:before="0" w:after="0"/>
              <w:jc w:val="right"/>
            </w:pPr>
            <w:r/>
            <w:r>
              <w:rPr>
                <w:rFonts w:ascii="楷体_GB2312" w:hAnsi="楷体_GB2312" w:eastAsia="楷体_GB2312"/>
                <w:b w:val="0"/>
                <w:sz w:val="21"/>
              </w:rPr>
              <w:t>3.95</w:t>
            </w:r>
          </w:p>
        </w:tc>
        <w:tc>
          <w:tcPr>
            <w:tcW w:type="dxa" w:w="1066"/>
          </w:tcPr>
          <w:p>
            <w:pPr>
              <w:spacing w:line="240" w:lineRule="auto" w:before="0" w:after="0"/>
              <w:jc w:val="right"/>
            </w:pPr>
            <w:r/>
            <w:r>
              <w:rPr>
                <w:rFonts w:ascii="楷体_GB2312" w:hAnsi="楷体_GB2312" w:eastAsia="楷体_GB2312"/>
                <w:b w:val="0"/>
                <w:sz w:val="21"/>
              </w:rPr>
              <w:t>8.08</w:t>
            </w:r>
          </w:p>
        </w:tc>
        <w:tc>
          <w:tcPr>
            <w:tcW w:type="dxa" w:w="1066"/>
          </w:tcPr>
          <w:p>
            <w:pPr>
              <w:spacing w:line="240" w:lineRule="auto" w:before="0" w:after="0"/>
              <w:jc w:val="right"/>
            </w:pPr>
            <w:r/>
            <w:r>
              <w:rPr>
                <w:rFonts w:ascii="楷体_GB2312" w:hAnsi="楷体_GB2312" w:eastAsia="楷体_GB2312"/>
                <w:b w:val="0"/>
                <w:sz w:val="21"/>
              </w:rPr>
              <w:t>7.12</w:t>
            </w:r>
          </w:p>
        </w:tc>
        <w:tc>
          <w:tcPr>
            <w:tcW w:type="dxa" w:w="1066"/>
          </w:tcPr>
          <w:p>
            <w:pPr>
              <w:spacing w:line="240" w:lineRule="auto" w:before="0" w:after="0"/>
              <w:jc w:val="right"/>
            </w:pPr>
            <w:r/>
            <w:r>
              <w:rPr>
                <w:rFonts w:ascii="楷体_GB2312" w:hAnsi="楷体_GB2312" w:eastAsia="楷体_GB2312"/>
                <w:b w:val="0"/>
                <w:sz w:val="21"/>
              </w:rPr>
              <w:t>5.66</w:t>
            </w:r>
          </w:p>
        </w:tc>
      </w:tr>
      <w:tr>
        <w:tc>
          <w:tcPr>
            <w:tcW w:type="dxa" w:w="2835"/>
          </w:tcPr>
          <w:p>
            <w:pPr>
              <w:spacing w:line="240" w:lineRule="auto" w:before="0" w:after="0"/>
              <w:jc w:val="left"/>
            </w:pPr>
            <w:r/>
            <w:r>
              <w:rPr>
                <w:rFonts w:ascii="楷体_GB2312" w:hAnsi="楷体_GB2312" w:eastAsia="楷体_GB2312"/>
                <w:b w:val="0"/>
                <w:sz w:val="21"/>
              </w:rPr>
              <w:t>营业毛利率</w:t>
            </w:r>
          </w:p>
        </w:tc>
        <w:tc>
          <w:tcPr>
            <w:tcW w:type="dxa" w:w="1066"/>
          </w:tcPr>
          <w:p>
            <w:pPr>
              <w:spacing w:line="240" w:lineRule="auto" w:before="0" w:after="0"/>
              <w:jc w:val="right"/>
            </w:pPr>
            <w:r/>
            <w:r>
              <w:rPr>
                <w:rFonts w:ascii="楷体_GB2312" w:hAnsi="楷体_GB2312" w:eastAsia="楷体_GB2312"/>
                <w:b w:val="0"/>
                <w:sz w:val="21"/>
              </w:rPr>
              <w:t>24.85%</w:t>
            </w:r>
          </w:p>
        </w:tc>
        <w:tc>
          <w:tcPr>
            <w:tcW w:type="dxa" w:w="1066"/>
          </w:tcPr>
          <w:p>
            <w:pPr>
              <w:spacing w:line="240" w:lineRule="auto" w:before="0" w:after="0"/>
              <w:jc w:val="right"/>
            </w:pPr>
            <w:r/>
            <w:r>
              <w:rPr>
                <w:rFonts w:ascii="楷体_GB2312" w:hAnsi="楷体_GB2312" w:eastAsia="楷体_GB2312"/>
                <w:b w:val="0"/>
                <w:sz w:val="21"/>
              </w:rPr>
              <w:t>26.49%</w:t>
            </w:r>
          </w:p>
        </w:tc>
        <w:tc>
          <w:tcPr>
            <w:tcW w:type="dxa" w:w="1066"/>
          </w:tcPr>
          <w:p>
            <w:pPr>
              <w:spacing w:line="240" w:lineRule="auto" w:before="0" w:after="0"/>
              <w:jc w:val="right"/>
            </w:pPr>
            <w:r/>
            <w:r>
              <w:rPr>
                <w:rFonts w:ascii="楷体_GB2312" w:hAnsi="楷体_GB2312" w:eastAsia="楷体_GB2312"/>
                <w:b w:val="0"/>
                <w:sz w:val="21"/>
              </w:rPr>
              <w:t>23.23%</w:t>
            </w:r>
          </w:p>
        </w:tc>
        <w:tc>
          <w:tcPr>
            <w:tcW w:type="dxa" w:w="1066"/>
          </w:tcPr>
          <w:p>
            <w:pPr>
              <w:spacing w:line="240" w:lineRule="auto" w:before="0" w:after="0"/>
              <w:jc w:val="right"/>
            </w:pPr>
            <w:r/>
            <w:r>
              <w:rPr>
                <w:rFonts w:ascii="楷体_GB2312" w:hAnsi="楷体_GB2312" w:eastAsia="楷体_GB2312"/>
                <w:b w:val="0"/>
                <w:sz w:val="21"/>
              </w:rPr>
              <w:t>14.61%</w:t>
            </w:r>
          </w:p>
        </w:tc>
      </w:tr>
      <w:tr>
        <w:tc>
          <w:tcPr>
            <w:tcW w:type="dxa" w:w="2835"/>
          </w:tcPr>
          <w:p>
            <w:pPr>
              <w:spacing w:line="240" w:lineRule="auto" w:before="0" w:after="0"/>
              <w:jc w:val="left"/>
            </w:pPr>
            <w:r/>
            <w:r>
              <w:rPr>
                <w:rFonts w:ascii="楷体_GB2312" w:hAnsi="楷体_GB2312" w:eastAsia="楷体_GB2312"/>
                <w:b w:val="0"/>
                <w:sz w:val="21"/>
              </w:rPr>
              <w:t>净利润</w:t>
            </w:r>
          </w:p>
        </w:tc>
        <w:tc>
          <w:tcPr>
            <w:tcW w:type="dxa" w:w="1066"/>
          </w:tcPr>
          <w:p>
            <w:pPr>
              <w:spacing w:line="240" w:lineRule="auto" w:before="0" w:after="0"/>
              <w:jc w:val="right"/>
            </w:pPr>
            <w:r/>
            <w:r>
              <w:rPr>
                <w:rFonts w:ascii="楷体_GB2312" w:hAnsi="楷体_GB2312" w:eastAsia="楷体_GB2312"/>
                <w:b w:val="0"/>
                <w:sz w:val="21"/>
              </w:rPr>
              <w:t>0.02</w:t>
            </w:r>
          </w:p>
        </w:tc>
        <w:tc>
          <w:tcPr>
            <w:tcW w:type="dxa" w:w="1066"/>
          </w:tcPr>
          <w:p>
            <w:pPr>
              <w:spacing w:line="240" w:lineRule="auto" w:before="0" w:after="0"/>
              <w:jc w:val="right"/>
            </w:pPr>
            <w:r/>
            <w:r>
              <w:rPr>
                <w:rFonts w:ascii="楷体_GB2312" w:hAnsi="楷体_GB2312" w:eastAsia="楷体_GB2312"/>
                <w:b w:val="0"/>
                <w:sz w:val="21"/>
              </w:rPr>
              <w:t>0.01</w:t>
            </w:r>
          </w:p>
        </w:tc>
        <w:tc>
          <w:tcPr>
            <w:tcW w:type="dxa" w:w="1066"/>
          </w:tcPr>
          <w:p>
            <w:pPr>
              <w:spacing w:line="240" w:lineRule="auto" w:before="0" w:after="0"/>
              <w:jc w:val="right"/>
            </w:pPr>
            <w:r/>
            <w:r>
              <w:rPr>
                <w:rFonts w:ascii="楷体_GB2312" w:hAnsi="楷体_GB2312" w:eastAsia="楷体_GB2312"/>
                <w:b w:val="0"/>
                <w:sz w:val="21"/>
              </w:rPr>
              <w:t>0.01</w:t>
            </w:r>
          </w:p>
        </w:tc>
        <w:tc>
          <w:tcPr>
            <w:tcW w:type="dxa" w:w="1066"/>
          </w:tcPr>
          <w:p>
            <w:pPr>
              <w:spacing w:line="240" w:lineRule="auto" w:before="0" w:after="0"/>
              <w:jc w:val="right"/>
            </w:pPr>
            <w:r/>
            <w:r>
              <w:rPr>
                <w:rFonts w:ascii="楷体_GB2312" w:hAnsi="楷体_GB2312" w:eastAsia="楷体_GB2312"/>
                <w:b w:val="0"/>
                <w:sz w:val="21"/>
              </w:rPr>
              <w:t>0.01</w:t>
            </w:r>
          </w:p>
        </w:tc>
      </w:tr>
      <w:tr>
        <w:tc>
          <w:tcPr>
            <w:tcW w:type="dxa" w:w="2835"/>
          </w:tcPr>
          <w:p>
            <w:pPr>
              <w:spacing w:line="240" w:lineRule="auto" w:before="0" w:after="0"/>
              <w:jc w:val="left"/>
            </w:pPr>
            <w:r/>
            <w:r>
              <w:rPr>
                <w:rFonts w:ascii="楷体_GB2312" w:hAnsi="楷体_GB2312" w:eastAsia="楷体_GB2312"/>
                <w:b w:val="0"/>
                <w:sz w:val="21"/>
              </w:rPr>
              <w:t>EBITDA</w:t>
            </w:r>
          </w:p>
        </w:tc>
        <w:tc>
          <w:tcPr>
            <w:tcW w:type="dxa" w:w="1066"/>
          </w:tcPr>
          <w:p>
            <w:pPr>
              <w:spacing w:line="240" w:lineRule="auto" w:before="0" w:after="0"/>
              <w:jc w:val="right"/>
            </w:pPr>
            <w:r/>
            <w:r>
              <w:rPr>
                <w:rFonts w:ascii="楷体_GB2312" w:hAnsi="楷体_GB2312" w:eastAsia="楷体_GB2312"/>
                <w:b w:val="0"/>
                <w:sz w:val="21"/>
              </w:rPr>
              <w:t>--</w:t>
            </w:r>
          </w:p>
        </w:tc>
        <w:tc>
          <w:tcPr>
            <w:tcW w:type="dxa" w:w="1066"/>
          </w:tcPr>
          <w:p>
            <w:pPr>
              <w:spacing w:line="240" w:lineRule="auto" w:before="0" w:after="0"/>
              <w:jc w:val="right"/>
            </w:pPr>
            <w:r/>
            <w:r>
              <w:rPr>
                <w:rFonts w:ascii="楷体_GB2312" w:hAnsi="楷体_GB2312" w:eastAsia="楷体_GB2312"/>
                <w:b w:val="0"/>
                <w:sz w:val="21"/>
              </w:rPr>
              <w:t>1.86</w:t>
            </w:r>
          </w:p>
        </w:tc>
        <w:tc>
          <w:tcPr>
            <w:tcW w:type="dxa" w:w="1066"/>
          </w:tcPr>
          <w:p>
            <w:pPr>
              <w:spacing w:line="240" w:lineRule="auto" w:before="0" w:after="0"/>
              <w:jc w:val="right"/>
            </w:pPr>
            <w:r/>
            <w:r>
              <w:rPr>
                <w:rFonts w:ascii="楷体_GB2312" w:hAnsi="楷体_GB2312" w:eastAsia="楷体_GB2312"/>
                <w:b w:val="0"/>
                <w:sz w:val="21"/>
              </w:rPr>
              <w:t>1.79</w:t>
            </w:r>
          </w:p>
        </w:tc>
        <w:tc>
          <w:tcPr>
            <w:tcW w:type="dxa" w:w="1066"/>
          </w:tcPr>
          <w:p>
            <w:pPr>
              <w:spacing w:line="240" w:lineRule="auto" w:before="0" w:after="0"/>
              <w:jc w:val="right"/>
            </w:pPr>
            <w:r/>
            <w:r>
              <w:rPr>
                <w:rFonts w:ascii="楷体_GB2312" w:hAnsi="楷体_GB2312" w:eastAsia="楷体_GB2312"/>
                <w:b w:val="0"/>
                <w:sz w:val="21"/>
              </w:rPr>
              <w:t>1.50</w:t>
            </w:r>
          </w:p>
        </w:tc>
      </w:tr>
      <w:tr>
        <w:tc>
          <w:tcPr>
            <w:tcW w:type="dxa" w:w="2835"/>
          </w:tcPr>
          <w:p>
            <w:pPr>
              <w:spacing w:line="240" w:lineRule="auto" w:before="0" w:after="0"/>
              <w:jc w:val="left"/>
            </w:pPr>
            <w:r/>
            <w:r>
              <w:rPr>
                <w:rFonts w:ascii="楷体_GB2312" w:hAnsi="楷体_GB2312" w:eastAsia="楷体_GB2312"/>
                <w:b w:val="0"/>
                <w:sz w:val="21"/>
              </w:rPr>
              <w:t>经营活动现金流量净额</w:t>
            </w:r>
          </w:p>
        </w:tc>
        <w:tc>
          <w:tcPr>
            <w:tcW w:type="dxa" w:w="1066"/>
          </w:tcPr>
          <w:p>
            <w:pPr>
              <w:spacing w:line="240" w:lineRule="auto" w:before="0" w:after="0"/>
              <w:jc w:val="right"/>
            </w:pPr>
            <w:r/>
            <w:r>
              <w:rPr>
                <w:rFonts w:ascii="楷体_GB2312" w:hAnsi="楷体_GB2312" w:eastAsia="楷体_GB2312"/>
                <w:b w:val="0"/>
                <w:sz w:val="21"/>
              </w:rPr>
              <w:t>2.37</w:t>
            </w:r>
          </w:p>
        </w:tc>
        <w:tc>
          <w:tcPr>
            <w:tcW w:type="dxa" w:w="1066"/>
          </w:tcPr>
          <w:p>
            <w:pPr>
              <w:spacing w:line="240" w:lineRule="auto" w:before="0" w:after="0"/>
              <w:jc w:val="right"/>
            </w:pPr>
            <w:r/>
            <w:r>
              <w:rPr>
                <w:rFonts w:ascii="楷体_GB2312" w:hAnsi="楷体_GB2312" w:eastAsia="楷体_GB2312"/>
                <w:b w:val="0"/>
                <w:sz w:val="21"/>
              </w:rPr>
              <w:t>1.19</w:t>
            </w:r>
          </w:p>
        </w:tc>
        <w:tc>
          <w:tcPr>
            <w:tcW w:type="dxa" w:w="1066"/>
          </w:tcPr>
          <w:p>
            <w:pPr>
              <w:spacing w:line="240" w:lineRule="auto" w:before="0" w:after="0"/>
              <w:jc w:val="right"/>
            </w:pPr>
            <w:r/>
            <w:r>
              <w:rPr>
                <w:rFonts w:ascii="楷体_GB2312" w:hAnsi="楷体_GB2312" w:eastAsia="楷体_GB2312"/>
                <w:b w:val="0"/>
                <w:sz w:val="21"/>
              </w:rPr>
              <w:t>1.49</w:t>
            </w:r>
          </w:p>
        </w:tc>
        <w:tc>
          <w:tcPr>
            <w:tcW w:type="dxa" w:w="1066"/>
          </w:tcPr>
          <w:p>
            <w:pPr>
              <w:spacing w:line="240" w:lineRule="auto" w:before="0" w:after="0"/>
              <w:jc w:val="right"/>
            </w:pPr>
            <w:r/>
            <w:r>
              <w:rPr>
                <w:rFonts w:ascii="楷体_GB2312" w:hAnsi="楷体_GB2312" w:eastAsia="楷体_GB2312"/>
                <w:b w:val="0"/>
                <w:sz w:val="21"/>
              </w:rPr>
              <w:t>1.24</w:t>
            </w:r>
          </w:p>
        </w:tc>
      </w:tr>
      <w:tr>
        <w:tc>
          <w:tcPr>
            <w:tcW w:type="dxa" w:w="2835"/>
          </w:tcPr>
          <w:p>
            <w:pPr>
              <w:spacing w:line="240" w:lineRule="auto" w:before="0" w:after="0"/>
              <w:jc w:val="left"/>
            </w:pPr>
            <w:r/>
            <w:r>
              <w:rPr>
                <w:rFonts w:ascii="楷体_GB2312" w:hAnsi="楷体_GB2312" w:eastAsia="楷体_GB2312"/>
                <w:b w:val="0"/>
                <w:sz w:val="21"/>
              </w:rPr>
              <w:t>短期债务</w:t>
            </w:r>
          </w:p>
        </w:tc>
        <w:tc>
          <w:tcPr>
            <w:tcW w:type="dxa" w:w="1066"/>
          </w:tcPr>
          <w:p>
            <w:pPr>
              <w:spacing w:line="240" w:lineRule="auto" w:before="0" w:after="0"/>
              <w:jc w:val="right"/>
            </w:pPr>
            <w:r/>
            <w:r>
              <w:rPr>
                <w:rFonts w:ascii="楷体_GB2312" w:hAnsi="楷体_GB2312" w:eastAsia="楷体_GB2312"/>
                <w:b w:val="0"/>
                <w:sz w:val="21"/>
              </w:rPr>
              <w:t>1.86</w:t>
            </w:r>
          </w:p>
        </w:tc>
        <w:tc>
          <w:tcPr>
            <w:tcW w:type="dxa" w:w="1066"/>
          </w:tcPr>
          <w:p>
            <w:pPr>
              <w:spacing w:line="240" w:lineRule="auto" w:before="0" w:after="0"/>
              <w:jc w:val="right"/>
            </w:pPr>
            <w:r/>
            <w:r>
              <w:rPr>
                <w:rFonts w:ascii="楷体_GB2312" w:hAnsi="楷体_GB2312" w:eastAsia="楷体_GB2312"/>
                <w:b w:val="0"/>
                <w:sz w:val="21"/>
              </w:rPr>
              <w:t>2.89</w:t>
            </w:r>
          </w:p>
        </w:tc>
        <w:tc>
          <w:tcPr>
            <w:tcW w:type="dxa" w:w="1066"/>
          </w:tcPr>
          <w:p>
            <w:pPr>
              <w:spacing w:line="240" w:lineRule="auto" w:before="0" w:after="0"/>
              <w:jc w:val="right"/>
            </w:pPr>
            <w:r/>
            <w:r>
              <w:rPr>
                <w:rFonts w:ascii="楷体_GB2312" w:hAnsi="楷体_GB2312" w:eastAsia="楷体_GB2312"/>
                <w:b w:val="0"/>
                <w:sz w:val="21"/>
              </w:rPr>
              <w:t>3.50</w:t>
            </w:r>
          </w:p>
        </w:tc>
        <w:tc>
          <w:tcPr>
            <w:tcW w:type="dxa" w:w="1066"/>
          </w:tcPr>
          <w:p>
            <w:pPr>
              <w:spacing w:line="240" w:lineRule="auto" w:before="0" w:after="0"/>
              <w:jc w:val="right"/>
            </w:pPr>
            <w:r/>
            <w:r>
              <w:rPr>
                <w:rFonts w:ascii="楷体_GB2312" w:hAnsi="楷体_GB2312" w:eastAsia="楷体_GB2312"/>
                <w:b w:val="0"/>
                <w:sz w:val="21"/>
              </w:rPr>
              <w:t>2.34</w:t>
            </w:r>
          </w:p>
        </w:tc>
      </w:tr>
      <w:tr>
        <w:tc>
          <w:tcPr>
            <w:tcW w:type="dxa" w:w="2835"/>
          </w:tcPr>
          <w:p>
            <w:pPr>
              <w:spacing w:line="240" w:lineRule="auto" w:before="0" w:after="0"/>
              <w:jc w:val="left"/>
            </w:pPr>
            <w:r/>
            <w:r>
              <w:rPr>
                <w:rFonts w:ascii="楷体_GB2312" w:hAnsi="楷体_GB2312" w:eastAsia="楷体_GB2312"/>
                <w:b w:val="0"/>
                <w:sz w:val="21"/>
              </w:rPr>
              <w:t>长期债务</w:t>
            </w:r>
          </w:p>
        </w:tc>
        <w:tc>
          <w:tcPr>
            <w:tcW w:type="dxa" w:w="1066"/>
          </w:tcPr>
          <w:p>
            <w:pPr>
              <w:spacing w:line="240" w:lineRule="auto" w:before="0" w:after="0"/>
              <w:jc w:val="right"/>
            </w:pPr>
            <w:r/>
            <w:r>
              <w:rPr>
                <w:rFonts w:ascii="楷体_GB2312" w:hAnsi="楷体_GB2312" w:eastAsia="楷体_GB2312"/>
                <w:b w:val="0"/>
                <w:sz w:val="21"/>
              </w:rPr>
              <w:t>15.01</w:t>
            </w:r>
          </w:p>
        </w:tc>
        <w:tc>
          <w:tcPr>
            <w:tcW w:type="dxa" w:w="1066"/>
          </w:tcPr>
          <w:p>
            <w:pPr>
              <w:spacing w:line="240" w:lineRule="auto" w:before="0" w:after="0"/>
              <w:jc w:val="right"/>
            </w:pPr>
            <w:r/>
            <w:r>
              <w:rPr>
                <w:rFonts w:ascii="楷体_GB2312" w:hAnsi="楷体_GB2312" w:eastAsia="楷体_GB2312"/>
                <w:b w:val="0"/>
                <w:sz w:val="21"/>
              </w:rPr>
              <w:t>13.49</w:t>
            </w:r>
          </w:p>
        </w:tc>
        <w:tc>
          <w:tcPr>
            <w:tcW w:type="dxa" w:w="1066"/>
          </w:tcPr>
          <w:p>
            <w:pPr>
              <w:spacing w:line="240" w:lineRule="auto" w:before="0" w:after="0"/>
              <w:jc w:val="right"/>
            </w:pPr>
            <w:r/>
            <w:r>
              <w:rPr>
                <w:rFonts w:ascii="楷体_GB2312" w:hAnsi="楷体_GB2312" w:eastAsia="楷体_GB2312"/>
                <w:b w:val="0"/>
                <w:sz w:val="21"/>
              </w:rPr>
              <w:t>12.75</w:t>
            </w:r>
          </w:p>
        </w:tc>
        <w:tc>
          <w:tcPr>
            <w:tcW w:type="dxa" w:w="1066"/>
          </w:tcPr>
          <w:p>
            <w:pPr>
              <w:spacing w:line="240" w:lineRule="auto" w:before="0" w:after="0"/>
              <w:jc w:val="right"/>
            </w:pPr>
            <w:r/>
            <w:r>
              <w:rPr>
                <w:rFonts w:ascii="楷体_GB2312" w:hAnsi="楷体_GB2312" w:eastAsia="楷体_GB2312"/>
                <w:b w:val="0"/>
                <w:sz w:val="21"/>
              </w:rPr>
              <w:t>5.56</w:t>
            </w:r>
          </w:p>
        </w:tc>
      </w:tr>
      <w:tr>
        <w:tc>
          <w:tcPr>
            <w:tcW w:type="dxa" w:w="2835"/>
          </w:tcPr>
          <w:p>
            <w:pPr>
              <w:spacing w:line="240" w:lineRule="auto" w:before="0" w:after="0"/>
              <w:jc w:val="left"/>
            </w:pPr>
            <w:r/>
            <w:r>
              <w:rPr>
                <w:rFonts w:ascii="楷体_GB2312" w:hAnsi="楷体_GB2312" w:eastAsia="楷体_GB2312"/>
                <w:b w:val="0"/>
                <w:sz w:val="21"/>
              </w:rPr>
              <w:t>全部债务</w:t>
            </w:r>
          </w:p>
        </w:tc>
        <w:tc>
          <w:tcPr>
            <w:tcW w:type="dxa" w:w="1066"/>
          </w:tcPr>
          <w:p>
            <w:pPr>
              <w:spacing w:line="240" w:lineRule="auto" w:before="0" w:after="0"/>
              <w:jc w:val="right"/>
            </w:pPr>
            <w:r/>
            <w:r>
              <w:rPr>
                <w:rFonts w:ascii="楷体_GB2312" w:hAnsi="楷体_GB2312" w:eastAsia="楷体_GB2312"/>
                <w:b w:val="0"/>
                <w:sz w:val="21"/>
              </w:rPr>
              <w:t>16.87</w:t>
            </w:r>
          </w:p>
        </w:tc>
        <w:tc>
          <w:tcPr>
            <w:tcW w:type="dxa" w:w="1066"/>
          </w:tcPr>
          <w:p>
            <w:pPr>
              <w:spacing w:line="240" w:lineRule="auto" w:before="0" w:after="0"/>
              <w:jc w:val="right"/>
            </w:pPr>
            <w:r/>
            <w:r>
              <w:rPr>
                <w:rFonts w:ascii="楷体_GB2312" w:hAnsi="楷体_GB2312" w:eastAsia="楷体_GB2312"/>
                <w:b w:val="0"/>
                <w:sz w:val="21"/>
              </w:rPr>
              <w:t>16.38</w:t>
            </w:r>
          </w:p>
        </w:tc>
        <w:tc>
          <w:tcPr>
            <w:tcW w:type="dxa" w:w="1066"/>
          </w:tcPr>
          <w:p>
            <w:pPr>
              <w:spacing w:line="240" w:lineRule="auto" w:before="0" w:after="0"/>
              <w:jc w:val="right"/>
            </w:pPr>
            <w:r/>
            <w:r>
              <w:rPr>
                <w:rFonts w:ascii="楷体_GB2312" w:hAnsi="楷体_GB2312" w:eastAsia="楷体_GB2312"/>
                <w:b w:val="0"/>
                <w:sz w:val="21"/>
              </w:rPr>
              <w:t>16.25</w:t>
            </w:r>
          </w:p>
        </w:tc>
        <w:tc>
          <w:tcPr>
            <w:tcW w:type="dxa" w:w="1066"/>
          </w:tcPr>
          <w:p>
            <w:pPr>
              <w:spacing w:line="240" w:lineRule="auto" w:before="0" w:after="0"/>
              <w:jc w:val="right"/>
            </w:pPr>
            <w:r/>
            <w:r>
              <w:rPr>
                <w:rFonts w:ascii="楷体_GB2312" w:hAnsi="楷体_GB2312" w:eastAsia="楷体_GB2312"/>
                <w:b w:val="0"/>
                <w:sz w:val="21"/>
              </w:rPr>
              <w:t>7.90</w:t>
            </w:r>
          </w:p>
        </w:tc>
      </w:tr>
      <w:tr>
        <w:tc>
          <w:tcPr>
            <w:tcW w:type="dxa" w:w="2835"/>
          </w:tcPr>
          <w:p>
            <w:pPr>
              <w:spacing w:line="240" w:lineRule="auto" w:before="0" w:after="0"/>
              <w:jc w:val="left"/>
            </w:pPr>
            <w:r/>
            <w:r>
              <w:rPr>
                <w:rFonts w:ascii="楷体_GB2312" w:hAnsi="楷体_GB2312" w:eastAsia="楷体_GB2312"/>
                <w:b w:val="0"/>
                <w:sz w:val="21"/>
              </w:rPr>
              <w:t>总资本化比率</w:t>
            </w:r>
          </w:p>
        </w:tc>
        <w:tc>
          <w:tcPr>
            <w:tcW w:type="dxa" w:w="1066"/>
          </w:tcPr>
          <w:p>
            <w:pPr>
              <w:spacing w:line="240" w:lineRule="auto" w:before="0" w:after="0"/>
              <w:jc w:val="right"/>
            </w:pPr>
            <w:r/>
            <w:r>
              <w:rPr>
                <w:rFonts w:ascii="楷体_GB2312" w:hAnsi="楷体_GB2312" w:eastAsia="楷体_GB2312"/>
                <w:b w:val="0"/>
                <w:sz w:val="21"/>
              </w:rPr>
              <w:t>30.83%</w:t>
            </w:r>
          </w:p>
        </w:tc>
        <w:tc>
          <w:tcPr>
            <w:tcW w:type="dxa" w:w="1066"/>
          </w:tcPr>
          <w:p>
            <w:pPr>
              <w:spacing w:line="240" w:lineRule="auto" w:before="0" w:after="0"/>
              <w:jc w:val="right"/>
            </w:pPr>
            <w:r/>
            <w:r>
              <w:rPr>
                <w:rFonts w:ascii="楷体_GB2312" w:hAnsi="楷体_GB2312" w:eastAsia="楷体_GB2312"/>
                <w:b w:val="0"/>
                <w:sz w:val="21"/>
              </w:rPr>
              <w:t>30.22%</w:t>
            </w:r>
          </w:p>
        </w:tc>
        <w:tc>
          <w:tcPr>
            <w:tcW w:type="dxa" w:w="1066"/>
          </w:tcPr>
          <w:p>
            <w:pPr>
              <w:spacing w:line="240" w:lineRule="auto" w:before="0" w:after="0"/>
              <w:jc w:val="right"/>
            </w:pPr>
            <w:r/>
            <w:r>
              <w:rPr>
                <w:rFonts w:ascii="楷体_GB2312" w:hAnsi="楷体_GB2312" w:eastAsia="楷体_GB2312"/>
                <w:b w:val="0"/>
                <w:sz w:val="21"/>
              </w:rPr>
              <w:t>30.16%</w:t>
            </w:r>
          </w:p>
        </w:tc>
        <w:tc>
          <w:tcPr>
            <w:tcW w:type="dxa" w:w="1066"/>
          </w:tcPr>
          <w:p>
            <w:pPr>
              <w:spacing w:line="240" w:lineRule="auto" w:before="0" w:after="0"/>
              <w:jc w:val="right"/>
            </w:pPr>
            <w:r/>
            <w:r>
              <w:rPr>
                <w:rFonts w:ascii="楷体_GB2312" w:hAnsi="楷体_GB2312" w:eastAsia="楷体_GB2312"/>
                <w:b w:val="0"/>
                <w:sz w:val="21"/>
              </w:rPr>
              <w:t>17.38%</w:t>
            </w:r>
          </w:p>
        </w:tc>
      </w:tr>
      <w:tr>
        <w:tc>
          <w:tcPr>
            <w:tcW w:type="dxa" w:w="2835"/>
          </w:tcPr>
          <w:p>
            <w:pPr>
              <w:spacing w:line="240" w:lineRule="auto" w:before="0" w:after="0"/>
              <w:jc w:val="left"/>
            </w:pPr>
            <w:r/>
            <w:r>
              <w:rPr>
                <w:rFonts w:ascii="楷体_GB2312" w:hAnsi="楷体_GB2312" w:eastAsia="楷体_GB2312"/>
                <w:b w:val="0"/>
                <w:sz w:val="21"/>
              </w:rPr>
              <w:t>货币资金/短期债务（倍）</w:t>
            </w:r>
          </w:p>
        </w:tc>
        <w:tc>
          <w:tcPr>
            <w:tcW w:type="dxa" w:w="1066"/>
          </w:tcPr>
          <w:p>
            <w:pPr>
              <w:spacing w:line="240" w:lineRule="auto" w:before="0" w:after="0"/>
              <w:jc w:val="right"/>
            </w:pPr>
            <w:r/>
            <w:r>
              <w:rPr>
                <w:rFonts w:ascii="楷体_GB2312" w:hAnsi="楷体_GB2312" w:eastAsia="楷体_GB2312"/>
                <w:b w:val="0"/>
                <w:sz w:val="21"/>
              </w:rPr>
              <w:t>4.49</w:t>
            </w:r>
          </w:p>
        </w:tc>
        <w:tc>
          <w:tcPr>
            <w:tcW w:type="dxa" w:w="1066"/>
          </w:tcPr>
          <w:p>
            <w:pPr>
              <w:spacing w:line="240" w:lineRule="auto" w:before="0" w:after="0"/>
              <w:jc w:val="right"/>
            </w:pPr>
            <w:r/>
            <w:r>
              <w:rPr>
                <w:rFonts w:ascii="楷体_GB2312" w:hAnsi="楷体_GB2312" w:eastAsia="楷体_GB2312"/>
                <w:b w:val="0"/>
                <w:sz w:val="21"/>
              </w:rPr>
              <w:t>1.67</w:t>
            </w:r>
          </w:p>
        </w:tc>
        <w:tc>
          <w:tcPr>
            <w:tcW w:type="dxa" w:w="1066"/>
          </w:tcPr>
          <w:p>
            <w:pPr>
              <w:spacing w:line="240" w:lineRule="auto" w:before="0" w:after="0"/>
              <w:jc w:val="right"/>
            </w:pPr>
            <w:r/>
            <w:r>
              <w:rPr>
                <w:rFonts w:ascii="楷体_GB2312" w:hAnsi="楷体_GB2312" w:eastAsia="楷体_GB2312"/>
                <w:b w:val="0"/>
                <w:sz w:val="21"/>
              </w:rPr>
              <w:t>2.29</w:t>
            </w:r>
          </w:p>
        </w:tc>
        <w:tc>
          <w:tcPr>
            <w:tcW w:type="dxa" w:w="1066"/>
          </w:tcPr>
          <w:p>
            <w:pPr>
              <w:spacing w:line="240" w:lineRule="auto" w:before="0" w:after="0"/>
              <w:jc w:val="right"/>
            </w:pPr>
            <w:r/>
            <w:r>
              <w:rPr>
                <w:rFonts w:ascii="楷体_GB2312" w:hAnsi="楷体_GB2312" w:eastAsia="楷体_GB2312"/>
                <w:b w:val="0"/>
                <w:sz w:val="21"/>
              </w:rPr>
              <w:t>2.07</w:t>
            </w:r>
          </w:p>
        </w:tc>
      </w:tr>
      <w:tr>
        <w:tc>
          <w:tcPr>
            <w:tcW w:type="dxa" w:w="2835"/>
          </w:tcPr>
          <w:p>
            <w:pPr>
              <w:spacing w:line="240" w:lineRule="auto" w:before="0" w:after="0"/>
              <w:jc w:val="left"/>
            </w:pPr>
            <w:r/>
            <w:r>
              <w:rPr>
                <w:rFonts w:ascii="楷体_GB2312" w:hAnsi="楷体_GB2312" w:eastAsia="楷体_GB2312"/>
                <w:b w:val="0"/>
                <w:sz w:val="21"/>
              </w:rPr>
              <w:t>EBITDA利息保障倍数</w:t>
            </w:r>
          </w:p>
        </w:tc>
        <w:tc>
          <w:tcPr>
            <w:tcW w:type="dxa" w:w="1066"/>
          </w:tcPr>
          <w:p>
            <w:pPr>
              <w:spacing w:line="240" w:lineRule="auto" w:before="0" w:after="0"/>
              <w:jc w:val="right"/>
            </w:pPr>
            <w:r/>
            <w:r>
              <w:rPr>
                <w:rFonts w:ascii="楷体_GB2312" w:hAnsi="楷体_GB2312" w:eastAsia="楷体_GB2312"/>
                <w:b w:val="0"/>
                <w:sz w:val="21"/>
              </w:rPr>
              <w:t>--</w:t>
            </w:r>
          </w:p>
        </w:tc>
        <w:tc>
          <w:tcPr>
            <w:tcW w:type="dxa" w:w="1066"/>
          </w:tcPr>
          <w:p>
            <w:pPr>
              <w:spacing w:line="240" w:lineRule="auto" w:before="0" w:after="0"/>
              <w:jc w:val="right"/>
            </w:pPr>
            <w:r/>
            <w:r>
              <w:rPr>
                <w:rFonts w:ascii="楷体_GB2312" w:hAnsi="楷体_GB2312" w:eastAsia="楷体_GB2312"/>
                <w:b w:val="0"/>
                <w:sz w:val="21"/>
              </w:rPr>
              <w:t>9.79</w:t>
            </w:r>
          </w:p>
        </w:tc>
        <w:tc>
          <w:tcPr>
            <w:tcW w:type="dxa" w:w="1066"/>
          </w:tcPr>
          <w:p>
            <w:pPr>
              <w:spacing w:line="240" w:lineRule="auto" w:before="0" w:after="0"/>
              <w:jc w:val="right"/>
            </w:pPr>
            <w:r/>
            <w:r>
              <w:rPr>
                <w:rFonts w:ascii="楷体_GB2312" w:hAnsi="楷体_GB2312" w:eastAsia="楷体_GB2312"/>
                <w:b w:val="0"/>
                <w:sz w:val="21"/>
              </w:rPr>
              <w:t>15.90</w:t>
            </w:r>
          </w:p>
        </w:tc>
        <w:tc>
          <w:tcPr>
            <w:tcW w:type="dxa" w:w="1066"/>
          </w:tcPr>
          <w:p>
            <w:pPr>
              <w:spacing w:line="240" w:lineRule="auto" w:before="0" w:after="0"/>
              <w:jc w:val="right"/>
            </w:pPr>
            <w:r/>
            <w:r>
              <w:rPr>
                <w:rFonts w:ascii="楷体_GB2312" w:hAnsi="楷体_GB2312" w:eastAsia="楷体_GB2312"/>
                <w:b w:val="0"/>
                <w:sz w:val="21"/>
              </w:rPr>
              <w:t>29.23</w:t>
            </w:r>
          </w:p>
        </w:tc>
      </w:tr>
    </w:tbl>
    <w:p>
      <w:pPr>
        <w:spacing w:lineRule="auto" w:line="276" w:before="0" w:after="0"/>
        <w:ind w:firstLineChars="200" w:firstLine="420"/>
      </w:pPr>
      <w:r>
        <w:rPr>
          <w:rFonts w:ascii="楷体_GB2312" w:hAnsi="楷体_GB2312" w:eastAsia="楷体_GB2312"/>
          <w:b/>
          <w:sz w:val="21"/>
        </w:rPr>
        <w:t>公司负债规模随项目建设上升，财务杠杆仍处同行业较低水平，债务期限结构较优，经营获现对利息的覆盖能力较强。</w:t>
      </w:r>
      <w:r>
        <w:rPr>
          <w:rFonts w:ascii="楷体_GB2312" w:hAnsi="楷体_GB2312" w:eastAsia="楷体_GB2312"/>
          <w:b w:val="0"/>
          <w:sz w:val="21"/>
        </w:rPr>
        <w:t>2026年6月末公司负债总额35.65亿元，资产负债率48.50%，较2025年末的47.58%小幅上升。全部债务方面，2025年末总债务（含政府专项债等）为20.91亿元，其中有息债务16.38亿元，差额主要系政府专项债等计入其他筹资活动形成的债务；2026年6月末有息债务16.87亿元，其中短期债务1.86亿元、长期债务15.01亿元，短期债务占有息债务比重17.64%，期限结构以长期为主。融资构成上，有息债务以银行借款和应付债券为主，存量债券包括“24苏南机场MTN001”6.00亿元和“21苏南机场MTN001”5.00亿元。利息保障方面，2025年EBITDA为1.86亿元，EBITDA利息保障倍数9.79倍，经营现金流1.19亿元，对利息的覆盖能力较强。非受限货币资金对短债覆盖方面，2026年6月末货币资金8.35亿元，扣除受限部分后可对短期债务形成较好覆盖。授信方面，截至2025年3月末公司共获授信总额17.00亿元，未使用额度13.70亿元，备用流动性尚可。或有事项方面，截至2025年末公司无对外担保及重大未决诉讼，受限资产主要为保函保证金及抵押的保障房等。</w:t>
      </w:r>
    </w:p>
    <w:p>
      <w:pPr>
        <w:spacing w:lineRule="auto" w:line="276" w:before="0" w:after="0"/>
        <w:ind w:firstLineChars="200" w:firstLine="420"/>
      </w:pPr>
      <w:r>
        <w:rPr>
          <w:rFonts w:ascii="楷体_GB2312" w:hAnsi="楷体_GB2312" w:eastAsia="楷体_GB2312"/>
          <w:b/>
          <w:sz w:val="21"/>
        </w:rPr>
        <w:t>公司持续获得股东增资与政府补助支持，外部支持对信用水平的支撑作用明显。</w:t>
      </w:r>
      <w:r>
        <w:rPr>
          <w:rFonts w:ascii="楷体_GB2312" w:hAnsi="楷体_GB2312" w:eastAsia="楷体_GB2312"/>
          <w:b w:val="0"/>
          <w:sz w:val="21"/>
        </w:rPr>
        <w:t>2022年以来三家股东按持股比例对公司增资10.50亿元，截至2025年3月末已到位9.45亿元，无锡空港园区发展有限公司剩余1.05亿元尚未支付；自2023年起公司先后申请到0.50亿元政府专项债和6.88亿元超长期国债，截至2025年3月末已用额度4.65亿元。2024年公司收到的民航发展基金补贴、基建项目贴息、省级航空机场发展专项补贴和税费返还合计6,220.29万元，2025年其他收益中机场建设费补助、航线补贴等合计5,376.07万元，政府补助对利润形成重要补充。整体来看，外部支持意愿较强、路径清晰，但增资剩余部分到位进度及补助的持续性需持续跟踪。</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_GB2312" w:hAnsi="楷体_GB2312" w:eastAsia="楷体_GB23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