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jc w:val="left"/>
        <w:ind w:firstLineChars="200" w:firstLine="420"/>
      </w:pPr>
      <w:r>
        <w:rPr>
          <w:rFonts w:ascii="楷体_GB2312" w:hAnsi="楷体_GB2312" w:eastAsia="楷体_GB2312"/>
          <w:b/>
          <w:sz w:val="21"/>
        </w:rPr>
        <w:t>科顺防水科技股份有限公司  主体：【待填】</w:t>
      </w:r>
    </w:p>
    <w:p>
      <w:pPr>
        <w:spacing w:lineRule="auto" w:line="276" w:before="0" w:after="0"/>
        <w:ind w:firstLineChars="200" w:firstLine="420"/>
      </w:pPr>
      <w:r>
        <w:rPr>
          <w:rFonts w:ascii="楷体_GB2312" w:hAnsi="楷体_GB2312" w:eastAsia="楷体_GB2312"/>
          <w:b/>
          <w:sz w:val="21"/>
        </w:rPr>
        <w:t>正面：</w:t>
      </w:r>
    </w:p>
    <w:p>
      <w:pPr>
        <w:spacing w:lineRule="auto" w:line="276" w:before="0" w:after="0"/>
        <w:ind w:firstLineChars="200" w:firstLine="420"/>
      </w:pPr>
      <w:r>
        <w:rPr>
          <w:rFonts w:ascii="楷体_GB2312" w:hAnsi="楷体_GB2312" w:eastAsia="楷体_GB2312"/>
          <w:b w:val="0"/>
          <w:sz w:val="21"/>
        </w:rPr>
        <w:t>1）公司是国内防水材料行业规模居前的上市公司，品牌认可度与产能规模优势得以保持，在房建供应链防水材料类供应商中排名靠前。</w:t>
      </w:r>
    </w:p>
    <w:p>
      <w:pPr>
        <w:spacing w:lineRule="auto" w:line="276" w:before="0" w:after="0"/>
        <w:ind w:firstLineChars="200" w:firstLine="420"/>
      </w:pPr>
      <w:r>
        <w:rPr>
          <w:rFonts w:ascii="楷体_GB2312" w:hAnsi="楷体_GB2312" w:eastAsia="楷体_GB2312"/>
          <w:b w:val="0"/>
          <w:sz w:val="21"/>
        </w:rPr>
        <w:t>2）公司具备防水卷材与防水涂料从研发、生产到工程施工的一体化能力，产品应用于市政基建、轨道交通、机场、核电等标志性工程领域。</w:t>
      </w:r>
    </w:p>
    <w:p>
      <w:pPr>
        <w:spacing w:lineRule="auto" w:line="276" w:before="0" w:after="0"/>
        <w:ind w:firstLineChars="200" w:firstLine="420"/>
      </w:pPr>
      <w:r>
        <w:rPr>
          <w:rFonts w:ascii="楷体_GB2312" w:hAnsi="楷体_GB2312" w:eastAsia="楷体_GB2312"/>
          <w:b w:val="0"/>
          <w:sz w:val="21"/>
        </w:rPr>
        <w:t>3）公司经营获现能力很强，经营活动现金流持续净流入，销售商品提供劳务收到的现金对营业收入的覆盖程度处于高水平。</w:t>
      </w:r>
    </w:p>
    <w:p>
      <w:pPr>
        <w:spacing w:lineRule="auto" w:line="276" w:before="0" w:after="0"/>
        <w:ind w:firstLineChars="200" w:firstLine="420"/>
      </w:pPr>
      <w:r>
        <w:rPr>
          <w:rFonts w:ascii="楷体_GB2312" w:hAnsi="楷体_GB2312" w:eastAsia="楷体_GB2312"/>
          <w:b w:val="0"/>
          <w:sz w:val="21"/>
        </w:rPr>
        <w:t>4）公司现金类资产较充裕，对短期债务的覆盖程度很高，银行授信未使用额度充足，财务弹性尚可。</w:t>
      </w:r>
    </w:p>
    <w:p>
      <w:pPr>
        <w:spacing w:lineRule="auto" w:line="276" w:before="0" w:after="0"/>
        <w:ind w:firstLineChars="200" w:firstLine="420"/>
      </w:pPr>
      <w:r>
        <w:rPr>
          <w:rFonts w:ascii="楷体_GB2312" w:hAnsi="楷体_GB2312" w:eastAsia="楷体_GB2312"/>
          <w:b/>
          <w:sz w:val="21"/>
        </w:rPr>
        <w:t>关注：</w:t>
      </w:r>
    </w:p>
    <w:p>
      <w:pPr>
        <w:spacing w:lineRule="auto" w:line="276" w:before="0" w:after="0"/>
        <w:ind w:firstLineChars="200" w:firstLine="420"/>
      </w:pPr>
      <w:r>
        <w:rPr>
          <w:rFonts w:ascii="楷体_GB2312" w:hAnsi="楷体_GB2312" w:eastAsia="楷体_GB2312"/>
          <w:b w:val="0"/>
          <w:sz w:val="21"/>
        </w:rPr>
        <w:t>1）下游房屋施工面积下滑导致防水材料需求缩减，行业竞争激烈，公司营业总收入同比下降，收入规模对地产及基建投资节奏依赖较强。</w:t>
      </w:r>
    </w:p>
    <w:p>
      <w:pPr>
        <w:spacing w:lineRule="auto" w:line="276" w:before="0" w:after="0"/>
        <w:ind w:firstLineChars="200" w:firstLine="420"/>
      </w:pPr>
      <w:r>
        <w:rPr>
          <w:rFonts w:ascii="楷体_GB2312" w:hAnsi="楷体_GB2312" w:eastAsia="楷体_GB2312"/>
          <w:b w:val="0"/>
          <w:sz w:val="21"/>
        </w:rPr>
        <w:t>2）公司对风险房企客户持续计提应收款项坏账准备，叠加合同资产、抵债房产及固定资产减值，当期出现亏损，盈利对减值损失的敏感性高。</w:t>
      </w:r>
    </w:p>
    <w:p>
      <w:pPr>
        <w:spacing w:lineRule="auto" w:line="276" w:before="0" w:after="0"/>
        <w:ind w:firstLineChars="200" w:firstLine="420"/>
      </w:pPr>
      <w:r>
        <w:rPr>
          <w:rFonts w:ascii="楷体_GB2312" w:hAnsi="楷体_GB2312" w:eastAsia="楷体_GB2312"/>
          <w:b w:val="0"/>
          <w:sz w:val="21"/>
        </w:rPr>
        <w:t>3）公司应收账款在资产中占比仍高，按单项计提坏账准备的应收账款计提比例已处于高位，抵债房产处置与去化存在不确定性。</w:t>
      </w:r>
    </w:p>
    <w:p>
      <w:pPr>
        <w:spacing w:lineRule="auto" w:line="276" w:before="0" w:after="0"/>
        <w:ind w:firstLineChars="200" w:firstLine="420"/>
      </w:pPr>
      <w:r>
        <w:rPr>
          <w:rFonts w:ascii="楷体_GB2312" w:hAnsi="楷体_GB2312" w:eastAsia="楷体_GB2312"/>
          <w:b w:val="0"/>
          <w:sz w:val="21"/>
        </w:rPr>
        <w:t>4）公司债务负担较重，全部债务资本化比率上升，可转债余额大且转股比例很低，若转股持续低迷将面临集中偿付压力。</w:t>
      </w:r>
    </w:p>
    <w:p>
      <w:pPr>
        <w:spacing w:lineRule="auto" w:line="276" w:before="0" w:after="0"/>
        <w:jc w:val="left"/>
        <w:ind w:firstLineChars="200" w:firstLine="420"/>
      </w:pPr>
      <w:r>
        <w:rPr>
          <w:rFonts w:ascii="楷体_GB2312" w:hAnsi="楷体_GB2312" w:eastAsia="楷体_GB2312"/>
          <w:b/>
          <w:sz w:val="21"/>
        </w:rPr>
        <w:t>1、基本情况</w:t>
      </w:r>
    </w:p>
    <w:p>
      <w:pPr>
        <w:spacing w:lineRule="auto" w:line="276" w:before="0" w:after="0"/>
        <w:ind w:firstLineChars="200" w:firstLine="420"/>
      </w:pPr>
      <w:r>
        <w:rPr>
          <w:rFonts w:ascii="楷体_GB2312" w:hAnsi="楷体_GB2312" w:eastAsia="楷体_GB2312"/>
          <w:b w:val="0"/>
          <w:sz w:val="21"/>
        </w:rPr>
        <w:t>公司成立于1996年10月10日，前身为顺德市科顺精细化工有限公司，2018年1月25日在深圳证券交易所创业板上市。公司主营建筑防水材料的生产销售、防水工程施工，并为铁路、公路、建筑、水利、电力、地铁、轨道交通等重大工程提供减隔震、止排水技术方案，收入主要来自防水卷材、防水涂料销售及防水工程施工服务。截至2026年3月末，公司股本11.10亿股，自然人陈伟忠、阮宜宝夫妇分别直接持有24.62%和6.83%股份，为实际控制人；陈伟忠、阮宜宝、陈智忠、陈作留、陈华忠互为一致行动人。报告期内公司控股股东及实际控制人未发生变更，2025年新设立子公司19家、注销3家，合并范围变动对财务数据可比性影响不大。联合资信于2026年6月23日将公司主体长期信用等级由AA下调至AA-，评级展望稳定。</w:t>
      </w:r>
    </w:p>
    <w:p>
      <w:pPr>
        <w:spacing w:lineRule="auto" w:line="276" w:before="0" w:after="0"/>
        <w:jc w:val="left"/>
        <w:ind w:firstLineChars="200" w:firstLine="420"/>
      </w:pPr>
      <w:r>
        <w:rPr>
          <w:rFonts w:ascii="楷体_GB2312" w:hAnsi="楷体_GB2312" w:eastAsia="楷体_GB2312"/>
          <w:b/>
          <w:sz w:val="21"/>
        </w:rPr>
        <w:t>2、点评</w:t>
      </w:r>
    </w:p>
    <w:p>
      <w:pPr>
        <w:spacing w:lineRule="auto" w:line="276" w:before="0" w:after="0"/>
        <w:ind w:firstLineChars="200" w:firstLine="420"/>
      </w:pPr>
      <w:r>
        <w:rPr>
          <w:rFonts w:ascii="楷体_GB2312" w:hAnsi="楷体_GB2312" w:eastAsia="楷体_GB2312"/>
          <w:b/>
          <w:sz w:val="21"/>
        </w:rPr>
        <w:t>公司收入高度依赖房屋建筑与基建领域的防水材料需求，下游回款节奏决定其现金流与资产质量，产品价格受成本传导与行业竞争共同约束，整体经营风险一般、财务风险较高。</w:t>
      </w:r>
      <w:r>
        <w:rPr>
          <w:rFonts w:ascii="楷体_GB2312" w:hAnsi="楷体_GB2312" w:eastAsia="楷体_GB2312"/>
          <w:b w:val="0"/>
          <w:sz w:val="21"/>
        </w:rPr>
        <w:t>从外部条件看，公司防水材料销售的资金主要来自房地产开发商、央企国企及大型基建项目业主，经销商渠道则依靠经销商预付款；需求量由全国建筑业房屋施工面积及基建投资节奏决定，2025年房屋施工面积持续下降，防水材料下游需求缩减；价格在经历前期大幅下滑后，2025年以来在沥青等成本推动和行业“反内卷”共识下头部企业普遍上调，但2026年以来沥青价格高位震荡，涨价效果尚待观察。经营层面，2025年公司实现营业总收入60.44亿元，同比下降11.49%，综合毛利率24.20%，较上年提升2.43个百分点，毛利润14.63亿元，同比基本稳定；当期计提信用减值损失6.03亿元、资产减值损失1.84亿元，利润总额-5.92亿元，出现亏损。2026年1-6月，公司实现营业总收入29.17亿元，利润总额0.82亿元，净利润0.66亿元，销售毛利率27.93%，盈利有所修复。收入结构上，防水卷材、防水涂料和防水工程施工三大板块合计占营业总收入的九成以上，减隔震产品及其他业务收入占比低。</w:t>
      </w:r>
    </w:p>
    <w:p>
      <w:pPr>
        <w:spacing w:lineRule="auto" w:line="276" w:before="0" w:after="0"/>
        <w:ind w:firstLineChars="200" w:firstLine="420"/>
      </w:pPr>
      <w:r>
        <w:rPr>
          <w:rFonts w:ascii="楷体_GB2312" w:hAnsi="楷体_GB2312" w:eastAsia="楷体_GB2312"/>
          <w:b w:val="0"/>
          <w:sz w:val="21"/>
        </w:rPr>
        <w:t>1）防水卷材业务方面，公司防水卷材以沥青基和高分子卷材为主，采用“以销定产+区域基地供应”模式，产品对运输半径敏感，部分区域工程施工业务中外购卷材补充供应。2025年，公司防水卷材年产能30920.00万平方米，产量23876.39万平方米，产能利用率77.22%，较上年有所下降；外购量1126.05万平方米。销售端，2025年销量24715.13万平方米，同比下降5.87%，产销率98.85%，保持在较好水平。价格与收入方面，2025年该板块实现收入30.71亿元，同比下降13.60%，收入下降主要系销量减少及公司优化业务结构所致。成本端，直接材料中沥青等石化产品占比较高，2025年沥青价格未发生明显提升，叠加毛利率较高的海外业务、零售业务占比提升及部分产品调价，该板块毛利率24.24%，同比提升5.02个百分点。项目与订单储备方面，公司与中国建筑、中铁建设、中国能建、招商蛇口、华润地产等央国企保持长期战略合作，并拓展城市更新、绿色建筑等场景。该板块风险在于下游房屋施工面积下滑导致需求收缩，且沥青价格2026年以来高位震荡，成本传导效果尚待观察。</w:t>
      </w:r>
    </w:p>
    <w:p>
      <w:pPr>
        <w:spacing w:lineRule="auto" w:line="276" w:before="0" w:after="0"/>
        <w:ind w:firstLineChars="200" w:firstLine="420"/>
      </w:pPr>
      <w:r>
        <w:rPr>
          <w:rFonts w:ascii="楷体_GB2312" w:hAnsi="楷体_GB2312" w:eastAsia="楷体_GB2312"/>
          <w:b w:val="0"/>
          <w:sz w:val="21"/>
        </w:rPr>
        <w:t>2）防水涂料业务方面，公司防水涂料包括水性涂料和溶剂型涂料，由各生产基地生产并依托经销与直营渠道销售，民建零售渠道是重要增长极。2025年，防水涂料年产能47.43万吨，产量31.43万吨，产能利用率66.28%，较上年下降；外购量21.60万吨。销售端，2025年销量53.26万吨，同比下降21.42%，产销率100.42%。价格与收入方面，2025年该板块实现收入15.88亿元，同比下降11.13%。成本端，受益于业务结构调整及毛利率较高的零售业务放量，该板块毛利率37.22%，同比提升3.54个百分点，为各板块中最高。项目与订单储备方面，民建业务以经销模式为核心，截至2025年末“科顺好工长”会员规模突破118万人，渠道壁垒有所增强。该板块风险在于销量降幅较大，若下游家装与修缮需求不及预期，产能利用率可能进一步走低。</w:t>
      </w:r>
    </w:p>
    <w:p>
      <w:pPr>
        <w:spacing w:lineRule="auto" w:line="276" w:before="0" w:after="0"/>
        <w:ind w:firstLineChars="200" w:firstLine="420"/>
      </w:pPr>
      <w:r>
        <w:rPr>
          <w:rFonts w:ascii="楷体_GB2312" w:hAnsi="楷体_GB2312" w:eastAsia="楷体_GB2312"/>
          <w:b w:val="0"/>
          <w:sz w:val="21"/>
        </w:rPr>
        <w:t>3）防水工程施工业务方面，公司防水工程施工业务主要由子公司深圳市科顺防水工程有限公司等主体承接，按照项目供货及施工进度收取货款，客户以央企、国企及大型基建项目为主。2025年，该板块实现收入10.84亿元，占营业总收入的17.94%。成本端，受宏观经济环境及基建投资需求影响，该板块毛利率6.25%，同比下降5.17个百分点，为各板块中最低。该板块按进度结算的模式易形成应收账款及合同资产沉淀，截至2025年末合同资产3.91亿元，主要为已完工未结算工程款及质保金，回款周期受工程进度影响存在不确定性。</w:t>
      </w:r>
    </w:p>
    <w:p>
      <w:pPr>
        <w:spacing w:lineRule="auto" w:line="276" w:before="0" w:after="0"/>
        <w:ind w:firstLineChars="200" w:firstLine="420"/>
      </w:pPr>
      <w:r>
        <w:rPr>
          <w:rFonts w:ascii="楷体_GB2312" w:hAnsi="楷体_GB2312" w:eastAsia="楷体_GB2312"/>
          <w:b w:val="0"/>
          <w:sz w:val="21"/>
        </w:rPr>
        <w:t>4）减隔震产品业务方面，公司减隔震业务由子公司丰泽智能装备股份有限公司等承接，向铁路、公路、建筑、水利、电力、地铁、轨道交通等重大工程提供减隔震、止排水技术方案，产品包括支座、止水带和伸缩装置等。2025年，该板块实现收入1.61亿元，占营业总收入的2.66%，毛利率11.39%，较上年下降0.78个百分点。报告期内该板块中标狮子洋通道T3项目、江苏LNG扩建等重特大项目，但收入占比低，对公司整体经营影响有限。</w:t>
      </w:r>
    </w:p>
    <w:p>
      <w:pPr>
        <w:spacing w:lineRule="auto" w:line="276" w:before="0" w:after="0"/>
        <w:ind w:firstLineChars="200" w:firstLine="420"/>
      </w:pPr>
      <w:r>
        <w:rPr>
          <w:rFonts w:ascii="楷体_GB2312" w:hAnsi="楷体_GB2312" w:eastAsia="楷体_GB2312"/>
          <w:b/>
          <w:sz w:val="21"/>
        </w:rPr>
        <w:t>公司资产以现金类资产、应收账款和固定资产为主，应收账款及抵债房产的减值计提比例已处于高位，资产质量对地产客户信用风险的敏感度仍高。</w:t>
      </w:r>
      <w:r>
        <w:rPr>
          <w:rFonts w:ascii="楷体_GB2312" w:hAnsi="楷体_GB2312" w:eastAsia="楷体_GB2312"/>
          <w:b w:val="0"/>
          <w:sz w:val="21"/>
        </w:rPr>
        <w:t>截至2026年6月末，公司资产总额133.89亿元，较2025年末增长7.97%，主要系货币资金增加所致。按金额降序，前五大科目为：应收账款33.23亿元，主要为应收货款，账面余额中累计计提坏账准备比例较高，按单项计提的坏账准备比例已提升至80.38%；货币资金31.70亿元，以银行存款为主，其中受限部分主要为各类保证金及质押定期存款；固定资产20.99亿元，主要为生产设备及厂房，生产设备折旧期限一般为10年；存货4.54亿元，主要为原材料及库存商品；在建工程0.92亿元，主要为募投项目建设投入。此外，其他非流动资产9.29亿元（2025年末）主要为抵债房产，账面余额8.83亿元、计提减值准备0.97亿元，计提比例10.99%，在当前房地产市场行情下行情况下仍存在继续减值风险。截至2025年末，公司受限资产合计9.00亿元，资产受限比例7.26%，受限比例较低。整体来看，公司现金类资产较充裕，但应收账款和抵债房产的回收与处置进度对资产质量影响较大。</w:t>
      </w:r>
    </w:p>
    <w:p>
      <w:pPr>
        <w:spacing w:lineRule="auto" w:line="276" w:before="0" w:after="0"/>
        <w:jc w:val="center"/>
        <w:ind w:firstLineChars="200" w:firstLine="420"/>
      </w:pPr>
      <w:r>
        <w:rPr>
          <w:rFonts w:ascii="楷体_GB2312" w:hAnsi="楷体_GB2312" w:eastAsia="楷体_GB2312"/>
          <w:b/>
          <w:sz w:val="21"/>
        </w:rPr>
        <w:t>公司主要财务数据和财务指标（合并口径）</w:t>
      </w:r>
    </w:p>
    <w:p>
      <w:pPr>
        <w:spacing w:lineRule="auto" w:line="276" w:before="0" w:after="0"/>
        <w:jc w:val="right"/>
      </w:pPr>
      <w:r>
        <w:rPr>
          <w:rFonts w:ascii="楷体_GB2312" w:hAnsi="楷体_GB2312" w:eastAsia="楷体_GB2312"/>
          <w:b w:val="0"/>
          <w:sz w:val="21"/>
        </w:rPr>
        <w:t>单位：亿元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2835"/>
          </w:tcPr>
          <w:p>
            <w:pPr>
              <w:spacing w:line="240" w:lineRule="auto" w:before="0" w:after="0"/>
              <w:jc w:val="center"/>
            </w:pPr>
            <w:r/>
            <w:r>
              <w:rPr>
                <w:rFonts w:ascii="楷体_GB2312" w:hAnsi="楷体_GB2312" w:eastAsia="楷体_GB2312"/>
                <w:b/>
                <w:sz w:val="21"/>
              </w:rPr>
              <w:t>项目</w:t>
            </w:r>
          </w:p>
        </w:tc>
        <w:tc>
          <w:tcPr>
            <w:tcW w:type="dxa" w:w="1066"/>
          </w:tcPr>
          <w:p>
            <w:pPr>
              <w:spacing w:line="240" w:lineRule="auto" w:before="0" w:after="0"/>
              <w:jc w:val="center"/>
            </w:pPr>
            <w:r/>
            <w:r>
              <w:rPr>
                <w:rFonts w:ascii="楷体_GB2312" w:hAnsi="楷体_GB2312" w:eastAsia="楷体_GB2312"/>
                <w:b/>
                <w:sz w:val="21"/>
              </w:rPr>
              <w:t>2026年6月末</w:t>
            </w:r>
          </w:p>
        </w:tc>
        <w:tc>
          <w:tcPr>
            <w:tcW w:type="dxa" w:w="1066"/>
          </w:tcPr>
          <w:p>
            <w:pPr>
              <w:spacing w:line="240" w:lineRule="auto" w:before="0" w:after="0"/>
              <w:jc w:val="center"/>
            </w:pPr>
            <w:r/>
            <w:r>
              <w:rPr>
                <w:rFonts w:ascii="楷体_GB2312" w:hAnsi="楷体_GB2312" w:eastAsia="楷体_GB2312"/>
                <w:b/>
                <w:sz w:val="21"/>
              </w:rPr>
              <w:t>2025年</w:t>
            </w:r>
          </w:p>
        </w:tc>
        <w:tc>
          <w:tcPr>
            <w:tcW w:type="dxa" w:w="1066"/>
          </w:tcPr>
          <w:p>
            <w:pPr>
              <w:spacing w:line="240" w:lineRule="auto" w:before="0" w:after="0"/>
              <w:jc w:val="center"/>
            </w:pPr>
            <w:r/>
            <w:r>
              <w:rPr>
                <w:rFonts w:ascii="楷体_GB2312" w:hAnsi="楷体_GB2312" w:eastAsia="楷体_GB2312"/>
                <w:b/>
                <w:sz w:val="21"/>
              </w:rPr>
              <w:t>2024年</w:t>
            </w:r>
          </w:p>
        </w:tc>
        <w:tc>
          <w:tcPr>
            <w:tcW w:type="dxa" w:w="1066"/>
          </w:tcPr>
          <w:p>
            <w:pPr>
              <w:spacing w:line="240" w:lineRule="auto" w:before="0" w:after="0"/>
              <w:jc w:val="center"/>
            </w:pPr>
            <w:r/>
            <w:r>
              <w:rPr>
                <w:rFonts w:ascii="楷体_GB2312" w:hAnsi="楷体_GB2312" w:eastAsia="楷体_GB2312"/>
                <w:b/>
                <w:sz w:val="21"/>
              </w:rPr>
              <w:t>2023年</w:t>
            </w:r>
          </w:p>
        </w:tc>
      </w:tr>
      <w:tr>
        <w:tc>
          <w:tcPr>
            <w:tcW w:type="dxa" w:w="2835"/>
          </w:tcPr>
          <w:p>
            <w:pPr>
              <w:spacing w:line="240" w:lineRule="auto" w:before="0" w:after="0"/>
              <w:jc w:val="left"/>
            </w:pPr>
            <w:r/>
            <w:r>
              <w:rPr>
                <w:rFonts w:ascii="楷体_GB2312" w:hAnsi="楷体_GB2312" w:eastAsia="楷体_GB2312"/>
                <w:b w:val="0"/>
                <w:sz w:val="21"/>
              </w:rPr>
              <w:t>资产总额</w:t>
            </w:r>
          </w:p>
        </w:tc>
        <w:tc>
          <w:tcPr>
            <w:tcW w:type="dxa" w:w="1066"/>
          </w:tcPr>
          <w:p>
            <w:pPr>
              <w:spacing w:line="240" w:lineRule="auto" w:before="0" w:after="0"/>
              <w:jc w:val="right"/>
            </w:pPr>
            <w:r/>
            <w:r>
              <w:rPr>
                <w:rFonts w:ascii="楷体_GB2312" w:hAnsi="楷体_GB2312" w:eastAsia="楷体_GB2312"/>
                <w:b w:val="0"/>
                <w:sz w:val="21"/>
              </w:rPr>
              <w:t>133.89</w:t>
            </w:r>
          </w:p>
        </w:tc>
        <w:tc>
          <w:tcPr>
            <w:tcW w:type="dxa" w:w="1066"/>
          </w:tcPr>
          <w:p>
            <w:pPr>
              <w:spacing w:line="240" w:lineRule="auto" w:before="0" w:after="0"/>
              <w:jc w:val="right"/>
            </w:pPr>
            <w:r/>
            <w:r>
              <w:rPr>
                <w:rFonts w:ascii="楷体_GB2312" w:hAnsi="楷体_GB2312" w:eastAsia="楷体_GB2312"/>
                <w:b w:val="0"/>
                <w:sz w:val="21"/>
              </w:rPr>
              <w:t>124.00</w:t>
            </w:r>
          </w:p>
        </w:tc>
        <w:tc>
          <w:tcPr>
            <w:tcW w:type="dxa" w:w="1066"/>
          </w:tcPr>
          <w:p>
            <w:pPr>
              <w:spacing w:line="240" w:lineRule="auto" w:before="0" w:after="0"/>
              <w:jc w:val="right"/>
            </w:pPr>
            <w:r/>
            <w:r>
              <w:rPr>
                <w:rFonts w:ascii="楷体_GB2312" w:hAnsi="楷体_GB2312" w:eastAsia="楷体_GB2312"/>
                <w:b w:val="0"/>
                <w:sz w:val="21"/>
              </w:rPr>
              <w:t>140.44</w:t>
            </w:r>
          </w:p>
        </w:tc>
        <w:tc>
          <w:tcPr>
            <w:tcW w:type="dxa" w:w="1066"/>
          </w:tcPr>
          <w:p>
            <w:pPr>
              <w:spacing w:line="240" w:lineRule="auto" w:before="0" w:after="0"/>
              <w:jc w:val="right"/>
            </w:pPr>
            <w:r/>
            <w:r>
              <w:rPr>
                <w:rFonts w:ascii="楷体_GB2312" w:hAnsi="楷体_GB2312" w:eastAsia="楷体_GB2312"/>
                <w:b w:val="0"/>
                <w:sz w:val="21"/>
              </w:rPr>
              <w:t>137.81</w:t>
            </w:r>
          </w:p>
        </w:tc>
      </w:tr>
      <w:tr>
        <w:tc>
          <w:tcPr>
            <w:tcW w:type="dxa" w:w="2835"/>
          </w:tcPr>
          <w:p>
            <w:pPr>
              <w:spacing w:line="240" w:lineRule="auto" w:before="0" w:after="0"/>
              <w:jc w:val="left"/>
            </w:pPr>
            <w:r/>
            <w:r>
              <w:rPr>
                <w:rFonts w:ascii="楷体_GB2312" w:hAnsi="楷体_GB2312" w:eastAsia="楷体_GB2312"/>
                <w:b w:val="0"/>
                <w:sz w:val="21"/>
              </w:rPr>
              <w:t>负债总额</w:t>
            </w:r>
          </w:p>
        </w:tc>
        <w:tc>
          <w:tcPr>
            <w:tcW w:type="dxa" w:w="1066"/>
          </w:tcPr>
          <w:p>
            <w:pPr>
              <w:spacing w:line="240" w:lineRule="auto" w:before="0" w:after="0"/>
              <w:jc w:val="right"/>
            </w:pPr>
            <w:r/>
            <w:r>
              <w:rPr>
                <w:rFonts w:ascii="楷体_GB2312" w:hAnsi="楷体_GB2312" w:eastAsia="楷体_GB2312"/>
                <w:b w:val="0"/>
                <w:sz w:val="21"/>
              </w:rPr>
              <w:t>93.31</w:t>
            </w:r>
          </w:p>
        </w:tc>
        <w:tc>
          <w:tcPr>
            <w:tcW w:type="dxa" w:w="1066"/>
          </w:tcPr>
          <w:p>
            <w:pPr>
              <w:spacing w:line="240" w:lineRule="auto" w:before="0" w:after="0"/>
              <w:jc w:val="right"/>
            </w:pPr>
            <w:r/>
            <w:r>
              <w:rPr>
                <w:rFonts w:ascii="楷体_GB2312" w:hAnsi="楷体_GB2312" w:eastAsia="楷体_GB2312"/>
                <w:b w:val="0"/>
                <w:sz w:val="21"/>
              </w:rPr>
              <w:t>83.48</w:t>
            </w:r>
          </w:p>
        </w:tc>
        <w:tc>
          <w:tcPr>
            <w:tcW w:type="dxa" w:w="1066"/>
          </w:tcPr>
          <w:p>
            <w:pPr>
              <w:spacing w:line="240" w:lineRule="auto" w:before="0" w:after="0"/>
              <w:jc w:val="right"/>
            </w:pPr>
            <w:r/>
            <w:r>
              <w:rPr>
                <w:rFonts w:ascii="楷体_GB2312" w:hAnsi="楷体_GB2312" w:eastAsia="楷体_GB2312"/>
                <w:b w:val="0"/>
                <w:sz w:val="21"/>
              </w:rPr>
              <w:t>90.65</w:t>
            </w:r>
          </w:p>
        </w:tc>
        <w:tc>
          <w:tcPr>
            <w:tcW w:type="dxa" w:w="1066"/>
          </w:tcPr>
          <w:p>
            <w:pPr>
              <w:spacing w:line="240" w:lineRule="auto" w:before="0" w:after="0"/>
              <w:jc w:val="right"/>
            </w:pPr>
            <w:r/>
            <w:r>
              <w:rPr>
                <w:rFonts w:ascii="楷体_GB2312" w:hAnsi="楷体_GB2312" w:eastAsia="楷体_GB2312"/>
                <w:b w:val="0"/>
                <w:sz w:val="21"/>
              </w:rPr>
              <w:t>86.65</w:t>
            </w:r>
          </w:p>
        </w:tc>
      </w:tr>
      <w:tr>
        <w:tc>
          <w:tcPr>
            <w:tcW w:type="dxa" w:w="2835"/>
          </w:tcPr>
          <w:p>
            <w:pPr>
              <w:spacing w:line="240" w:lineRule="auto" w:before="0" w:after="0"/>
              <w:jc w:val="left"/>
            </w:pPr>
            <w:r/>
            <w:r>
              <w:rPr>
                <w:rFonts w:ascii="楷体_GB2312" w:hAnsi="楷体_GB2312" w:eastAsia="楷体_GB2312"/>
                <w:b w:val="0"/>
                <w:sz w:val="21"/>
              </w:rPr>
              <w:t>所有者权益</w:t>
            </w:r>
          </w:p>
        </w:tc>
        <w:tc>
          <w:tcPr>
            <w:tcW w:type="dxa" w:w="1066"/>
          </w:tcPr>
          <w:p>
            <w:pPr>
              <w:spacing w:line="240" w:lineRule="auto" w:before="0" w:after="0"/>
              <w:jc w:val="right"/>
            </w:pPr>
            <w:r/>
            <w:r>
              <w:rPr>
                <w:rFonts w:ascii="楷体_GB2312" w:hAnsi="楷体_GB2312" w:eastAsia="楷体_GB2312"/>
                <w:b w:val="0"/>
                <w:sz w:val="21"/>
              </w:rPr>
              <w:t>40.58</w:t>
            </w:r>
          </w:p>
        </w:tc>
        <w:tc>
          <w:tcPr>
            <w:tcW w:type="dxa" w:w="1066"/>
          </w:tcPr>
          <w:p>
            <w:pPr>
              <w:spacing w:line="240" w:lineRule="auto" w:before="0" w:after="0"/>
              <w:jc w:val="right"/>
            </w:pPr>
            <w:r/>
            <w:r>
              <w:rPr>
                <w:rFonts w:ascii="楷体_GB2312" w:hAnsi="楷体_GB2312" w:eastAsia="楷体_GB2312"/>
                <w:b w:val="0"/>
                <w:sz w:val="21"/>
              </w:rPr>
              <w:t>40.52</w:t>
            </w:r>
          </w:p>
        </w:tc>
        <w:tc>
          <w:tcPr>
            <w:tcW w:type="dxa" w:w="1066"/>
          </w:tcPr>
          <w:p>
            <w:pPr>
              <w:spacing w:line="240" w:lineRule="auto" w:before="0" w:after="0"/>
              <w:jc w:val="right"/>
            </w:pPr>
            <w:r/>
            <w:r>
              <w:rPr>
                <w:rFonts w:ascii="楷体_GB2312" w:hAnsi="楷体_GB2312" w:eastAsia="楷体_GB2312"/>
                <w:b w:val="0"/>
                <w:sz w:val="21"/>
              </w:rPr>
              <w:t>49.79</w:t>
            </w:r>
          </w:p>
        </w:tc>
        <w:tc>
          <w:tcPr>
            <w:tcW w:type="dxa" w:w="1066"/>
          </w:tcPr>
          <w:p>
            <w:pPr>
              <w:spacing w:line="240" w:lineRule="auto" w:before="0" w:after="0"/>
              <w:jc w:val="right"/>
            </w:pPr>
            <w:r/>
            <w:r>
              <w:rPr>
                <w:rFonts w:ascii="楷体_GB2312" w:hAnsi="楷体_GB2312" w:eastAsia="楷体_GB2312"/>
                <w:b w:val="0"/>
                <w:sz w:val="21"/>
              </w:rPr>
              <w:t>51.16</w:t>
            </w:r>
          </w:p>
        </w:tc>
      </w:tr>
      <w:tr>
        <w:tc>
          <w:tcPr>
            <w:tcW w:type="dxa" w:w="2835"/>
          </w:tcPr>
          <w:p>
            <w:pPr>
              <w:spacing w:line="240" w:lineRule="auto" w:before="0" w:after="0"/>
              <w:jc w:val="left"/>
            </w:pPr>
            <w:r/>
            <w:r>
              <w:rPr>
                <w:rFonts w:ascii="楷体_GB2312" w:hAnsi="楷体_GB2312" w:eastAsia="楷体_GB2312"/>
                <w:b w:val="0"/>
                <w:sz w:val="21"/>
              </w:rPr>
              <w:t>资产负债率</w:t>
            </w:r>
          </w:p>
        </w:tc>
        <w:tc>
          <w:tcPr>
            <w:tcW w:type="dxa" w:w="1066"/>
          </w:tcPr>
          <w:p>
            <w:pPr>
              <w:spacing w:line="240" w:lineRule="auto" w:before="0" w:after="0"/>
              <w:jc w:val="right"/>
            </w:pPr>
            <w:r/>
            <w:r>
              <w:rPr>
                <w:rFonts w:ascii="楷体_GB2312" w:hAnsi="楷体_GB2312" w:eastAsia="楷体_GB2312"/>
                <w:b w:val="0"/>
                <w:sz w:val="21"/>
              </w:rPr>
              <w:t>69.69%</w:t>
            </w:r>
          </w:p>
        </w:tc>
        <w:tc>
          <w:tcPr>
            <w:tcW w:type="dxa" w:w="1066"/>
          </w:tcPr>
          <w:p>
            <w:pPr>
              <w:spacing w:line="240" w:lineRule="auto" w:before="0" w:after="0"/>
              <w:jc w:val="right"/>
            </w:pPr>
            <w:r/>
            <w:r>
              <w:rPr>
                <w:rFonts w:ascii="楷体_GB2312" w:hAnsi="楷体_GB2312" w:eastAsia="楷体_GB2312"/>
                <w:b w:val="0"/>
                <w:sz w:val="21"/>
              </w:rPr>
              <w:t>67.32%</w:t>
            </w:r>
          </w:p>
        </w:tc>
        <w:tc>
          <w:tcPr>
            <w:tcW w:type="dxa" w:w="1066"/>
          </w:tcPr>
          <w:p>
            <w:pPr>
              <w:spacing w:line="240" w:lineRule="auto" w:before="0" w:after="0"/>
              <w:jc w:val="right"/>
            </w:pPr>
            <w:r/>
            <w:r>
              <w:rPr>
                <w:rFonts w:ascii="楷体_GB2312" w:hAnsi="楷体_GB2312" w:eastAsia="楷体_GB2312"/>
                <w:b w:val="0"/>
                <w:sz w:val="21"/>
              </w:rPr>
              <w:t>64.55%</w:t>
            </w:r>
          </w:p>
        </w:tc>
        <w:tc>
          <w:tcPr>
            <w:tcW w:type="dxa" w:w="1066"/>
          </w:tcPr>
          <w:p>
            <w:pPr>
              <w:spacing w:line="240" w:lineRule="auto" w:before="0" w:after="0"/>
              <w:jc w:val="right"/>
            </w:pPr>
            <w:r/>
            <w:r>
              <w:rPr>
                <w:rFonts w:ascii="楷体_GB2312" w:hAnsi="楷体_GB2312" w:eastAsia="楷体_GB2312"/>
                <w:b w:val="0"/>
                <w:sz w:val="21"/>
              </w:rPr>
              <w:t>62.88%</w:t>
            </w:r>
          </w:p>
        </w:tc>
      </w:tr>
      <w:tr>
        <w:tc>
          <w:tcPr>
            <w:tcW w:type="dxa" w:w="2835"/>
          </w:tcPr>
          <w:p>
            <w:pPr>
              <w:spacing w:line="240" w:lineRule="auto" w:before="0" w:after="0"/>
              <w:jc w:val="left"/>
            </w:pPr>
            <w:r/>
            <w:r>
              <w:rPr>
                <w:rFonts w:ascii="楷体_GB2312" w:hAnsi="楷体_GB2312" w:eastAsia="楷体_GB2312"/>
                <w:b w:val="0"/>
                <w:sz w:val="21"/>
              </w:rPr>
              <w:t>应收账款</w:t>
            </w:r>
          </w:p>
        </w:tc>
        <w:tc>
          <w:tcPr>
            <w:tcW w:type="dxa" w:w="1066"/>
          </w:tcPr>
          <w:p>
            <w:pPr>
              <w:spacing w:line="240" w:lineRule="auto" w:before="0" w:after="0"/>
              <w:jc w:val="right"/>
            </w:pPr>
            <w:r/>
            <w:r>
              <w:rPr>
                <w:rFonts w:ascii="楷体_GB2312" w:hAnsi="楷体_GB2312" w:eastAsia="楷体_GB2312"/>
                <w:b w:val="0"/>
                <w:sz w:val="21"/>
              </w:rPr>
              <w:t>33.23</w:t>
            </w:r>
          </w:p>
        </w:tc>
        <w:tc>
          <w:tcPr>
            <w:tcW w:type="dxa" w:w="1066"/>
          </w:tcPr>
          <w:p>
            <w:pPr>
              <w:spacing w:line="240" w:lineRule="auto" w:before="0" w:after="0"/>
              <w:jc w:val="right"/>
            </w:pPr>
            <w:r/>
            <w:r>
              <w:rPr>
                <w:rFonts w:ascii="楷体_GB2312" w:hAnsi="楷体_GB2312" w:eastAsia="楷体_GB2312"/>
                <w:b w:val="0"/>
                <w:sz w:val="21"/>
              </w:rPr>
              <w:t>32.95</w:t>
            </w:r>
          </w:p>
        </w:tc>
        <w:tc>
          <w:tcPr>
            <w:tcW w:type="dxa" w:w="1066"/>
          </w:tcPr>
          <w:p>
            <w:pPr>
              <w:spacing w:line="240" w:lineRule="auto" w:before="0" w:after="0"/>
              <w:jc w:val="right"/>
            </w:pPr>
            <w:r/>
            <w:r>
              <w:rPr>
                <w:rFonts w:ascii="楷体_GB2312" w:hAnsi="楷体_GB2312" w:eastAsia="楷体_GB2312"/>
                <w:b w:val="0"/>
                <w:sz w:val="21"/>
              </w:rPr>
              <w:t>40.73</w:t>
            </w:r>
          </w:p>
        </w:tc>
        <w:tc>
          <w:tcPr>
            <w:tcW w:type="dxa" w:w="1066"/>
          </w:tcPr>
          <w:p>
            <w:pPr>
              <w:spacing w:line="240" w:lineRule="auto" w:before="0" w:after="0"/>
              <w:jc w:val="right"/>
            </w:pPr>
            <w:r/>
            <w:r>
              <w:rPr>
                <w:rFonts w:ascii="楷体_GB2312" w:hAnsi="楷体_GB2312" w:eastAsia="楷体_GB2312"/>
                <w:b w:val="0"/>
                <w:sz w:val="21"/>
              </w:rPr>
              <w:t>41.19</w:t>
            </w:r>
          </w:p>
        </w:tc>
      </w:tr>
      <w:tr>
        <w:tc>
          <w:tcPr>
            <w:tcW w:type="dxa" w:w="2835"/>
          </w:tcPr>
          <w:p>
            <w:pPr>
              <w:spacing w:line="240" w:lineRule="auto" w:before="0" w:after="0"/>
              <w:jc w:val="left"/>
            </w:pPr>
            <w:r/>
            <w:r>
              <w:rPr>
                <w:rFonts w:ascii="楷体_GB2312" w:hAnsi="楷体_GB2312" w:eastAsia="楷体_GB2312"/>
                <w:b w:val="0"/>
                <w:sz w:val="21"/>
              </w:rPr>
              <w:t>营业总收入</w:t>
            </w:r>
          </w:p>
        </w:tc>
        <w:tc>
          <w:tcPr>
            <w:tcW w:type="dxa" w:w="1066"/>
          </w:tcPr>
          <w:p>
            <w:pPr>
              <w:spacing w:line="240" w:lineRule="auto" w:before="0" w:after="0"/>
              <w:jc w:val="right"/>
            </w:pPr>
            <w:r/>
            <w:r>
              <w:rPr>
                <w:rFonts w:ascii="楷体_GB2312" w:hAnsi="楷体_GB2312" w:eastAsia="楷体_GB2312"/>
                <w:b w:val="0"/>
                <w:sz w:val="21"/>
              </w:rPr>
              <w:t>29.17</w:t>
            </w:r>
          </w:p>
        </w:tc>
        <w:tc>
          <w:tcPr>
            <w:tcW w:type="dxa" w:w="1066"/>
          </w:tcPr>
          <w:p>
            <w:pPr>
              <w:spacing w:line="240" w:lineRule="auto" w:before="0" w:after="0"/>
              <w:jc w:val="right"/>
            </w:pPr>
            <w:r/>
            <w:r>
              <w:rPr>
                <w:rFonts w:ascii="楷体_GB2312" w:hAnsi="楷体_GB2312" w:eastAsia="楷体_GB2312"/>
                <w:b w:val="0"/>
                <w:sz w:val="21"/>
              </w:rPr>
              <w:t>60.44</w:t>
            </w:r>
          </w:p>
        </w:tc>
        <w:tc>
          <w:tcPr>
            <w:tcW w:type="dxa" w:w="1066"/>
          </w:tcPr>
          <w:p>
            <w:pPr>
              <w:spacing w:line="240" w:lineRule="auto" w:before="0" w:after="0"/>
              <w:jc w:val="right"/>
            </w:pPr>
            <w:r/>
            <w:r>
              <w:rPr>
                <w:rFonts w:ascii="楷体_GB2312" w:hAnsi="楷体_GB2312" w:eastAsia="楷体_GB2312"/>
                <w:b w:val="0"/>
                <w:sz w:val="21"/>
              </w:rPr>
              <w:t>68.29</w:t>
            </w:r>
          </w:p>
        </w:tc>
        <w:tc>
          <w:tcPr>
            <w:tcW w:type="dxa" w:w="1066"/>
          </w:tcPr>
          <w:p>
            <w:pPr>
              <w:spacing w:line="240" w:lineRule="auto" w:before="0" w:after="0"/>
              <w:jc w:val="right"/>
            </w:pPr>
            <w:r/>
            <w:r>
              <w:rPr>
                <w:rFonts w:ascii="楷体_GB2312" w:hAnsi="楷体_GB2312" w:eastAsia="楷体_GB2312"/>
                <w:b w:val="0"/>
                <w:sz w:val="21"/>
              </w:rPr>
              <w:t>79.44</w:t>
            </w:r>
          </w:p>
        </w:tc>
      </w:tr>
      <w:tr>
        <w:tc>
          <w:tcPr>
            <w:tcW w:type="dxa" w:w="2835"/>
          </w:tcPr>
          <w:p>
            <w:pPr>
              <w:spacing w:line="240" w:lineRule="auto" w:before="0" w:after="0"/>
              <w:jc w:val="left"/>
            </w:pPr>
            <w:r/>
            <w:r>
              <w:rPr>
                <w:rFonts w:ascii="楷体_GB2312" w:hAnsi="楷体_GB2312" w:eastAsia="楷体_GB2312"/>
                <w:b w:val="0"/>
                <w:sz w:val="21"/>
              </w:rPr>
              <w:t>营业毛利率</w:t>
            </w:r>
          </w:p>
        </w:tc>
        <w:tc>
          <w:tcPr>
            <w:tcW w:type="dxa" w:w="1066"/>
          </w:tcPr>
          <w:p>
            <w:pPr>
              <w:spacing w:line="240" w:lineRule="auto" w:before="0" w:after="0"/>
              <w:jc w:val="right"/>
            </w:pPr>
            <w:r/>
            <w:r>
              <w:rPr>
                <w:rFonts w:ascii="楷体_GB2312" w:hAnsi="楷体_GB2312" w:eastAsia="楷体_GB2312"/>
                <w:b w:val="0"/>
                <w:sz w:val="21"/>
              </w:rPr>
              <w:t>27.93%</w:t>
            </w:r>
          </w:p>
        </w:tc>
        <w:tc>
          <w:tcPr>
            <w:tcW w:type="dxa" w:w="1066"/>
          </w:tcPr>
          <w:p>
            <w:pPr>
              <w:spacing w:line="240" w:lineRule="auto" w:before="0" w:after="0"/>
              <w:jc w:val="right"/>
            </w:pPr>
            <w:r/>
            <w:r>
              <w:rPr>
                <w:rFonts w:ascii="楷体_GB2312" w:hAnsi="楷体_GB2312" w:eastAsia="楷体_GB2312"/>
                <w:b w:val="0"/>
                <w:sz w:val="21"/>
              </w:rPr>
              <w:t>24.20%</w:t>
            </w:r>
          </w:p>
        </w:tc>
        <w:tc>
          <w:tcPr>
            <w:tcW w:type="dxa" w:w="1066"/>
          </w:tcPr>
          <w:p>
            <w:pPr>
              <w:spacing w:line="240" w:lineRule="auto" w:before="0" w:after="0"/>
              <w:jc w:val="right"/>
            </w:pPr>
            <w:r/>
            <w:r>
              <w:rPr>
                <w:rFonts w:ascii="楷体_GB2312" w:hAnsi="楷体_GB2312" w:eastAsia="楷体_GB2312"/>
                <w:b w:val="0"/>
                <w:sz w:val="21"/>
              </w:rPr>
              <w:t>21.77%</w:t>
            </w:r>
          </w:p>
        </w:tc>
        <w:tc>
          <w:tcPr>
            <w:tcW w:type="dxa" w:w="1066"/>
          </w:tcPr>
          <w:p>
            <w:pPr>
              <w:spacing w:line="240" w:lineRule="auto" w:before="0" w:after="0"/>
              <w:jc w:val="right"/>
            </w:pPr>
            <w:r/>
            <w:r>
              <w:rPr>
                <w:rFonts w:ascii="楷体_GB2312" w:hAnsi="楷体_GB2312" w:eastAsia="楷体_GB2312"/>
                <w:b w:val="0"/>
                <w:sz w:val="21"/>
              </w:rPr>
              <w:t>21.17%</w:t>
            </w:r>
          </w:p>
        </w:tc>
      </w:tr>
      <w:tr>
        <w:tc>
          <w:tcPr>
            <w:tcW w:type="dxa" w:w="2835"/>
          </w:tcPr>
          <w:p>
            <w:pPr>
              <w:spacing w:line="240" w:lineRule="auto" w:before="0" w:after="0"/>
              <w:jc w:val="left"/>
            </w:pPr>
            <w:r/>
            <w:r>
              <w:rPr>
                <w:rFonts w:ascii="楷体_GB2312" w:hAnsi="楷体_GB2312" w:eastAsia="楷体_GB2312"/>
                <w:b w:val="0"/>
                <w:sz w:val="21"/>
              </w:rPr>
              <w:t>净利润</w:t>
            </w:r>
          </w:p>
        </w:tc>
        <w:tc>
          <w:tcPr>
            <w:tcW w:type="dxa" w:w="1066"/>
          </w:tcPr>
          <w:p>
            <w:pPr>
              <w:spacing w:line="240" w:lineRule="auto" w:before="0" w:after="0"/>
              <w:jc w:val="right"/>
            </w:pPr>
            <w:r/>
            <w:r>
              <w:rPr>
                <w:rFonts w:ascii="楷体_GB2312" w:hAnsi="楷体_GB2312" w:eastAsia="楷体_GB2312"/>
                <w:b w:val="0"/>
                <w:sz w:val="21"/>
              </w:rPr>
              <w:t>0.66</w:t>
            </w:r>
          </w:p>
        </w:tc>
        <w:tc>
          <w:tcPr>
            <w:tcW w:type="dxa" w:w="1066"/>
          </w:tcPr>
          <w:p>
            <w:pPr>
              <w:spacing w:line="240" w:lineRule="auto" w:before="0" w:after="0"/>
              <w:jc w:val="right"/>
            </w:pPr>
            <w:r/>
            <w:r>
              <w:rPr>
                <w:rFonts w:ascii="楷体_GB2312" w:hAnsi="楷体_GB2312" w:eastAsia="楷体_GB2312"/>
                <w:b w:val="0"/>
                <w:sz w:val="21"/>
              </w:rPr>
              <w:t>-5.48</w:t>
            </w:r>
          </w:p>
        </w:tc>
        <w:tc>
          <w:tcPr>
            <w:tcW w:type="dxa" w:w="1066"/>
          </w:tcPr>
          <w:p>
            <w:pPr>
              <w:spacing w:line="240" w:lineRule="auto" w:before="0" w:after="0"/>
              <w:jc w:val="right"/>
            </w:pPr>
            <w:r/>
            <w:r>
              <w:rPr>
                <w:rFonts w:ascii="楷体_GB2312" w:hAnsi="楷体_GB2312" w:eastAsia="楷体_GB2312"/>
                <w:b w:val="0"/>
                <w:sz w:val="21"/>
              </w:rPr>
              <w:t>0.32</w:t>
            </w:r>
          </w:p>
        </w:tc>
        <w:tc>
          <w:tcPr>
            <w:tcW w:type="dxa" w:w="1066"/>
          </w:tcPr>
          <w:p>
            <w:pPr>
              <w:spacing w:line="240" w:lineRule="auto" w:before="0" w:after="0"/>
              <w:jc w:val="right"/>
            </w:pPr>
            <w:r/>
            <w:r>
              <w:rPr>
                <w:rFonts w:ascii="楷体_GB2312" w:hAnsi="楷体_GB2312" w:eastAsia="楷体_GB2312"/>
                <w:b w:val="0"/>
                <w:sz w:val="21"/>
              </w:rPr>
              <w:t>-3.43</w:t>
            </w:r>
          </w:p>
        </w:tc>
      </w:tr>
      <w:tr>
        <w:tc>
          <w:tcPr>
            <w:tcW w:type="dxa" w:w="2835"/>
          </w:tcPr>
          <w:p>
            <w:pPr>
              <w:spacing w:line="240" w:lineRule="auto" w:before="0" w:after="0"/>
              <w:jc w:val="left"/>
            </w:pPr>
            <w:r/>
            <w:r>
              <w:rPr>
                <w:rFonts w:ascii="楷体_GB2312" w:hAnsi="楷体_GB2312" w:eastAsia="楷体_GB2312"/>
                <w:b w:val="0"/>
                <w:sz w:val="21"/>
              </w:rPr>
              <w:t>EBITDA</w:t>
            </w:r>
          </w:p>
        </w:tc>
        <w:tc>
          <w:tcPr>
            <w:tcW w:type="dxa" w:w="1066"/>
          </w:tcPr>
          <w:p>
            <w:pPr>
              <w:spacing w:line="240" w:lineRule="auto" w:before="0" w:after="0"/>
              <w:jc w:val="right"/>
            </w:pPr>
            <w:r/>
            <w:r>
              <w:rPr>
                <w:rFonts w:ascii="楷体_GB2312" w:hAnsi="楷体_GB2312" w:eastAsia="楷体_GB2312"/>
                <w:b w:val="0"/>
                <w:sz w:val="21"/>
              </w:rPr>
              <w:t>2.62</w:t>
            </w:r>
          </w:p>
        </w:tc>
        <w:tc>
          <w:tcPr>
            <w:tcW w:type="dxa" w:w="1066"/>
          </w:tcPr>
          <w:p>
            <w:pPr>
              <w:spacing w:line="240" w:lineRule="auto" w:before="0" w:after="0"/>
              <w:jc w:val="right"/>
            </w:pPr>
            <w:r/>
            <w:r>
              <w:rPr>
                <w:rFonts w:ascii="楷体_GB2312" w:hAnsi="楷体_GB2312" w:eastAsia="楷体_GB2312"/>
                <w:b w:val="0"/>
                <w:sz w:val="21"/>
              </w:rPr>
              <w:t>-2.11</w:t>
            </w:r>
          </w:p>
        </w:tc>
        <w:tc>
          <w:tcPr>
            <w:tcW w:type="dxa" w:w="1066"/>
          </w:tcPr>
          <w:p>
            <w:pPr>
              <w:spacing w:line="240" w:lineRule="auto" w:before="0" w:after="0"/>
              <w:jc w:val="right"/>
            </w:pPr>
            <w:r/>
            <w:r>
              <w:rPr>
                <w:rFonts w:ascii="楷体_GB2312" w:hAnsi="楷体_GB2312" w:eastAsia="楷体_GB2312"/>
                <w:b w:val="0"/>
                <w:sz w:val="21"/>
              </w:rPr>
              <w:t>4.36</w:t>
            </w:r>
          </w:p>
        </w:tc>
        <w:tc>
          <w:tcPr>
            <w:tcW w:type="dxa" w:w="1066"/>
          </w:tcPr>
          <w:p>
            <w:pPr>
              <w:spacing w:line="240" w:lineRule="auto" w:before="0" w:after="0"/>
              <w:jc w:val="right"/>
            </w:pPr>
            <w:r/>
            <w:r>
              <w:rPr>
                <w:rFonts w:ascii="楷体_GB2312" w:hAnsi="楷体_GB2312" w:eastAsia="楷体_GB2312"/>
                <w:b w:val="0"/>
                <w:sz w:val="21"/>
              </w:rPr>
              <w:t>-0.63</w:t>
            </w:r>
          </w:p>
        </w:tc>
      </w:tr>
      <w:tr>
        <w:tc>
          <w:tcPr>
            <w:tcW w:type="dxa" w:w="2835"/>
          </w:tcPr>
          <w:p>
            <w:pPr>
              <w:spacing w:line="240" w:lineRule="auto" w:before="0" w:after="0"/>
              <w:jc w:val="left"/>
            </w:pPr>
            <w:r/>
            <w:r>
              <w:rPr>
                <w:rFonts w:ascii="楷体_GB2312" w:hAnsi="楷体_GB2312" w:eastAsia="楷体_GB2312"/>
                <w:b w:val="0"/>
                <w:sz w:val="21"/>
              </w:rPr>
              <w:t>经营活动现金流量净额</w:t>
            </w:r>
          </w:p>
        </w:tc>
        <w:tc>
          <w:tcPr>
            <w:tcW w:type="dxa" w:w="1066"/>
          </w:tcPr>
          <w:p>
            <w:pPr>
              <w:spacing w:line="240" w:lineRule="auto" w:before="0" w:after="0"/>
              <w:jc w:val="right"/>
            </w:pPr>
            <w:r/>
            <w:r>
              <w:rPr>
                <w:rFonts w:ascii="楷体_GB2312" w:hAnsi="楷体_GB2312" w:eastAsia="楷体_GB2312"/>
                <w:b w:val="0"/>
                <w:sz w:val="21"/>
              </w:rPr>
              <w:t>1.95</w:t>
            </w:r>
          </w:p>
        </w:tc>
        <w:tc>
          <w:tcPr>
            <w:tcW w:type="dxa" w:w="1066"/>
          </w:tcPr>
          <w:p>
            <w:pPr>
              <w:spacing w:line="240" w:lineRule="auto" w:before="0" w:after="0"/>
              <w:jc w:val="right"/>
            </w:pPr>
            <w:r/>
            <w:r>
              <w:rPr>
                <w:rFonts w:ascii="楷体_GB2312" w:hAnsi="楷体_GB2312" w:eastAsia="楷体_GB2312"/>
                <w:b w:val="0"/>
                <w:sz w:val="21"/>
              </w:rPr>
              <w:t>3.20</w:t>
            </w:r>
          </w:p>
        </w:tc>
        <w:tc>
          <w:tcPr>
            <w:tcW w:type="dxa" w:w="1066"/>
          </w:tcPr>
          <w:p>
            <w:pPr>
              <w:spacing w:line="240" w:lineRule="auto" w:before="0" w:after="0"/>
              <w:jc w:val="right"/>
            </w:pPr>
            <w:r/>
            <w:r>
              <w:rPr>
                <w:rFonts w:ascii="楷体_GB2312" w:hAnsi="楷体_GB2312" w:eastAsia="楷体_GB2312"/>
                <w:b w:val="0"/>
                <w:sz w:val="21"/>
              </w:rPr>
              <w:t>3.16</w:t>
            </w:r>
          </w:p>
        </w:tc>
        <w:tc>
          <w:tcPr>
            <w:tcW w:type="dxa" w:w="1066"/>
          </w:tcPr>
          <w:p>
            <w:pPr>
              <w:spacing w:line="240" w:lineRule="auto" w:before="0" w:after="0"/>
              <w:jc w:val="right"/>
            </w:pPr>
            <w:r/>
            <w:r>
              <w:rPr>
                <w:rFonts w:ascii="楷体_GB2312" w:hAnsi="楷体_GB2312" w:eastAsia="楷体_GB2312"/>
                <w:b w:val="0"/>
                <w:sz w:val="21"/>
              </w:rPr>
              <w:t>1.92</w:t>
            </w:r>
          </w:p>
        </w:tc>
      </w:tr>
      <w:tr>
        <w:tc>
          <w:tcPr>
            <w:tcW w:type="dxa" w:w="2835"/>
          </w:tcPr>
          <w:p>
            <w:pPr>
              <w:spacing w:line="240" w:lineRule="auto" w:before="0" w:after="0"/>
              <w:jc w:val="left"/>
            </w:pPr>
            <w:r/>
            <w:r>
              <w:rPr>
                <w:rFonts w:ascii="楷体_GB2312" w:hAnsi="楷体_GB2312" w:eastAsia="楷体_GB2312"/>
                <w:b w:val="0"/>
                <w:sz w:val="21"/>
              </w:rPr>
              <w:t>短期债务</w:t>
            </w:r>
          </w:p>
        </w:tc>
        <w:tc>
          <w:tcPr>
            <w:tcW w:type="dxa" w:w="1066"/>
          </w:tcPr>
          <w:p>
            <w:pPr>
              <w:spacing w:line="240" w:lineRule="auto" w:before="0" w:after="0"/>
              <w:jc w:val="right"/>
            </w:pPr>
            <w:r/>
            <w:r>
              <w:rPr>
                <w:rFonts w:ascii="楷体_GB2312" w:hAnsi="楷体_GB2312" w:eastAsia="楷体_GB2312"/>
                <w:b w:val="0"/>
                <w:sz w:val="21"/>
              </w:rPr>
              <w:t>25.45</w:t>
            </w:r>
          </w:p>
        </w:tc>
        <w:tc>
          <w:tcPr>
            <w:tcW w:type="dxa" w:w="1066"/>
          </w:tcPr>
          <w:p>
            <w:pPr>
              <w:spacing w:line="240" w:lineRule="auto" w:before="0" w:after="0"/>
              <w:jc w:val="right"/>
            </w:pPr>
            <w:r/>
            <w:r>
              <w:rPr>
                <w:rFonts w:ascii="楷体_GB2312" w:hAnsi="楷体_GB2312" w:eastAsia="楷体_GB2312"/>
                <w:b w:val="0"/>
                <w:sz w:val="21"/>
              </w:rPr>
              <w:t>19.28</w:t>
            </w:r>
          </w:p>
        </w:tc>
        <w:tc>
          <w:tcPr>
            <w:tcW w:type="dxa" w:w="1066"/>
          </w:tcPr>
          <w:p>
            <w:pPr>
              <w:spacing w:line="240" w:lineRule="auto" w:before="0" w:after="0"/>
              <w:jc w:val="right"/>
            </w:pPr>
            <w:r/>
            <w:r>
              <w:rPr>
                <w:rFonts w:ascii="楷体_GB2312" w:hAnsi="楷体_GB2312" w:eastAsia="楷体_GB2312"/>
                <w:b w:val="0"/>
                <w:sz w:val="21"/>
              </w:rPr>
              <w:t>17.05</w:t>
            </w:r>
          </w:p>
        </w:tc>
        <w:tc>
          <w:tcPr>
            <w:tcW w:type="dxa" w:w="1066"/>
          </w:tcPr>
          <w:p>
            <w:pPr>
              <w:spacing w:line="240" w:lineRule="auto" w:before="0" w:after="0"/>
              <w:jc w:val="right"/>
            </w:pPr>
            <w:r/>
            <w:r>
              <w:rPr>
                <w:rFonts w:ascii="楷体_GB2312" w:hAnsi="楷体_GB2312" w:eastAsia="楷体_GB2312"/>
                <w:b w:val="0"/>
                <w:sz w:val="21"/>
              </w:rPr>
              <w:t>18.56</w:t>
            </w:r>
          </w:p>
        </w:tc>
      </w:tr>
      <w:tr>
        <w:tc>
          <w:tcPr>
            <w:tcW w:type="dxa" w:w="2835"/>
          </w:tcPr>
          <w:p>
            <w:pPr>
              <w:spacing w:line="240" w:lineRule="auto" w:before="0" w:after="0"/>
              <w:jc w:val="left"/>
            </w:pPr>
            <w:r/>
            <w:r>
              <w:rPr>
                <w:rFonts w:ascii="楷体_GB2312" w:hAnsi="楷体_GB2312" w:eastAsia="楷体_GB2312"/>
                <w:b w:val="0"/>
                <w:sz w:val="21"/>
              </w:rPr>
              <w:t>长期债务</w:t>
            </w:r>
          </w:p>
        </w:tc>
        <w:tc>
          <w:tcPr>
            <w:tcW w:type="dxa" w:w="1066"/>
          </w:tcPr>
          <w:p>
            <w:pPr>
              <w:spacing w:line="240" w:lineRule="auto" w:before="0" w:after="0"/>
              <w:jc w:val="right"/>
            </w:pPr>
            <w:r/>
            <w:r>
              <w:rPr>
                <w:rFonts w:ascii="楷体_GB2312" w:hAnsi="楷体_GB2312" w:eastAsia="楷体_GB2312"/>
                <w:b w:val="0"/>
                <w:sz w:val="21"/>
              </w:rPr>
              <w:t>29.70</w:t>
            </w:r>
          </w:p>
        </w:tc>
        <w:tc>
          <w:tcPr>
            <w:tcW w:type="dxa" w:w="1066"/>
          </w:tcPr>
          <w:p>
            <w:pPr>
              <w:spacing w:line="240" w:lineRule="auto" w:before="0" w:after="0"/>
              <w:jc w:val="right"/>
            </w:pPr>
            <w:r/>
            <w:r>
              <w:rPr>
                <w:rFonts w:ascii="楷体_GB2312" w:hAnsi="楷体_GB2312" w:eastAsia="楷体_GB2312"/>
                <w:b w:val="0"/>
                <w:sz w:val="21"/>
              </w:rPr>
              <w:t>24.67</w:t>
            </w:r>
          </w:p>
        </w:tc>
        <w:tc>
          <w:tcPr>
            <w:tcW w:type="dxa" w:w="1066"/>
          </w:tcPr>
          <w:p>
            <w:pPr>
              <w:spacing w:line="240" w:lineRule="auto" w:before="0" w:after="0"/>
              <w:jc w:val="right"/>
            </w:pPr>
            <w:r/>
            <w:r>
              <w:rPr>
                <w:rFonts w:ascii="楷体_GB2312" w:hAnsi="楷体_GB2312" w:eastAsia="楷体_GB2312"/>
                <w:b w:val="0"/>
                <w:sz w:val="21"/>
              </w:rPr>
              <w:t>27.51</w:t>
            </w:r>
          </w:p>
        </w:tc>
        <w:tc>
          <w:tcPr>
            <w:tcW w:type="dxa" w:w="1066"/>
          </w:tcPr>
          <w:p>
            <w:pPr>
              <w:spacing w:line="240" w:lineRule="auto" w:before="0" w:after="0"/>
              <w:jc w:val="right"/>
            </w:pPr>
            <w:r/>
            <w:r>
              <w:rPr>
                <w:rFonts w:ascii="楷体_GB2312" w:hAnsi="楷体_GB2312" w:eastAsia="楷体_GB2312"/>
                <w:b w:val="0"/>
                <w:sz w:val="21"/>
              </w:rPr>
              <w:t>25.13</w:t>
            </w:r>
          </w:p>
        </w:tc>
      </w:tr>
      <w:tr>
        <w:tc>
          <w:tcPr>
            <w:tcW w:type="dxa" w:w="2835"/>
          </w:tcPr>
          <w:p>
            <w:pPr>
              <w:spacing w:line="240" w:lineRule="auto" w:before="0" w:after="0"/>
              <w:jc w:val="left"/>
            </w:pPr>
            <w:r/>
            <w:r>
              <w:rPr>
                <w:rFonts w:ascii="楷体_GB2312" w:hAnsi="楷体_GB2312" w:eastAsia="楷体_GB2312"/>
                <w:b w:val="0"/>
                <w:sz w:val="21"/>
              </w:rPr>
              <w:t>全部债务</w:t>
            </w:r>
          </w:p>
        </w:tc>
        <w:tc>
          <w:tcPr>
            <w:tcW w:type="dxa" w:w="1066"/>
          </w:tcPr>
          <w:p>
            <w:pPr>
              <w:spacing w:line="240" w:lineRule="auto" w:before="0" w:after="0"/>
              <w:jc w:val="right"/>
            </w:pPr>
            <w:r/>
            <w:r>
              <w:rPr>
                <w:rFonts w:ascii="楷体_GB2312" w:hAnsi="楷体_GB2312" w:eastAsia="楷体_GB2312"/>
                <w:b w:val="0"/>
                <w:sz w:val="21"/>
              </w:rPr>
              <w:t>55.15</w:t>
            </w:r>
          </w:p>
        </w:tc>
        <w:tc>
          <w:tcPr>
            <w:tcW w:type="dxa" w:w="1066"/>
          </w:tcPr>
          <w:p>
            <w:pPr>
              <w:spacing w:line="240" w:lineRule="auto" w:before="0" w:after="0"/>
              <w:jc w:val="right"/>
            </w:pPr>
            <w:r/>
            <w:r>
              <w:rPr>
                <w:rFonts w:ascii="楷体_GB2312" w:hAnsi="楷体_GB2312" w:eastAsia="楷体_GB2312"/>
                <w:b w:val="0"/>
                <w:sz w:val="21"/>
              </w:rPr>
              <w:t>43.95</w:t>
            </w:r>
          </w:p>
        </w:tc>
        <w:tc>
          <w:tcPr>
            <w:tcW w:type="dxa" w:w="1066"/>
          </w:tcPr>
          <w:p>
            <w:pPr>
              <w:spacing w:line="240" w:lineRule="auto" w:before="0" w:after="0"/>
              <w:jc w:val="right"/>
            </w:pPr>
            <w:r/>
            <w:r>
              <w:rPr>
                <w:rFonts w:ascii="楷体_GB2312" w:hAnsi="楷体_GB2312" w:eastAsia="楷体_GB2312"/>
                <w:b w:val="0"/>
                <w:sz w:val="21"/>
              </w:rPr>
              <w:t>44.56</w:t>
            </w:r>
          </w:p>
        </w:tc>
        <w:tc>
          <w:tcPr>
            <w:tcW w:type="dxa" w:w="1066"/>
          </w:tcPr>
          <w:p>
            <w:pPr>
              <w:spacing w:line="240" w:lineRule="auto" w:before="0" w:after="0"/>
              <w:jc w:val="right"/>
            </w:pPr>
            <w:r/>
            <w:r>
              <w:rPr>
                <w:rFonts w:ascii="楷体_GB2312" w:hAnsi="楷体_GB2312" w:eastAsia="楷体_GB2312"/>
                <w:b w:val="0"/>
                <w:sz w:val="21"/>
              </w:rPr>
              <w:t>43.68</w:t>
            </w:r>
          </w:p>
        </w:tc>
      </w:tr>
      <w:tr>
        <w:tc>
          <w:tcPr>
            <w:tcW w:type="dxa" w:w="2835"/>
          </w:tcPr>
          <w:p>
            <w:pPr>
              <w:spacing w:line="240" w:lineRule="auto" w:before="0" w:after="0"/>
              <w:jc w:val="left"/>
            </w:pPr>
            <w:r/>
            <w:r>
              <w:rPr>
                <w:rFonts w:ascii="楷体_GB2312" w:hAnsi="楷体_GB2312" w:eastAsia="楷体_GB2312"/>
                <w:b w:val="0"/>
                <w:sz w:val="21"/>
              </w:rPr>
              <w:t>总资本化比率</w:t>
            </w:r>
          </w:p>
        </w:tc>
        <w:tc>
          <w:tcPr>
            <w:tcW w:type="dxa" w:w="1066"/>
          </w:tcPr>
          <w:p>
            <w:pPr>
              <w:spacing w:line="240" w:lineRule="auto" w:before="0" w:after="0"/>
              <w:jc w:val="right"/>
            </w:pPr>
            <w:r/>
            <w:r>
              <w:rPr>
                <w:rFonts w:ascii="楷体_GB2312" w:hAnsi="楷体_GB2312" w:eastAsia="楷体_GB2312"/>
                <w:b w:val="0"/>
                <w:sz w:val="21"/>
              </w:rPr>
              <w:t>57.61%</w:t>
            </w:r>
          </w:p>
        </w:tc>
        <w:tc>
          <w:tcPr>
            <w:tcW w:type="dxa" w:w="1066"/>
          </w:tcPr>
          <w:p>
            <w:pPr>
              <w:spacing w:line="240" w:lineRule="auto" w:before="0" w:after="0"/>
              <w:jc w:val="right"/>
            </w:pPr>
            <w:r/>
            <w:r>
              <w:rPr>
                <w:rFonts w:ascii="楷体_GB2312" w:hAnsi="楷体_GB2312" w:eastAsia="楷体_GB2312"/>
                <w:b w:val="0"/>
                <w:sz w:val="21"/>
              </w:rPr>
              <w:t>52.03%</w:t>
            </w:r>
          </w:p>
        </w:tc>
        <w:tc>
          <w:tcPr>
            <w:tcW w:type="dxa" w:w="1066"/>
          </w:tcPr>
          <w:p>
            <w:pPr>
              <w:spacing w:line="240" w:lineRule="auto" w:before="0" w:after="0"/>
              <w:jc w:val="right"/>
            </w:pPr>
            <w:r/>
            <w:r>
              <w:rPr>
                <w:rFonts w:ascii="楷体_GB2312" w:hAnsi="楷体_GB2312" w:eastAsia="楷体_GB2312"/>
                <w:b w:val="0"/>
                <w:sz w:val="21"/>
              </w:rPr>
              <w:t>47.23%</w:t>
            </w:r>
          </w:p>
        </w:tc>
        <w:tc>
          <w:tcPr>
            <w:tcW w:type="dxa" w:w="1066"/>
          </w:tcPr>
          <w:p>
            <w:pPr>
              <w:spacing w:line="240" w:lineRule="auto" w:before="0" w:after="0"/>
              <w:jc w:val="right"/>
            </w:pPr>
            <w:r/>
            <w:r>
              <w:rPr>
                <w:rFonts w:ascii="楷体_GB2312" w:hAnsi="楷体_GB2312" w:eastAsia="楷体_GB2312"/>
                <w:b w:val="0"/>
                <w:sz w:val="21"/>
              </w:rPr>
              <w:t>46.06%</w:t>
            </w:r>
          </w:p>
        </w:tc>
      </w:tr>
      <w:tr>
        <w:tc>
          <w:tcPr>
            <w:tcW w:type="dxa" w:w="2835"/>
          </w:tcPr>
          <w:p>
            <w:pPr>
              <w:spacing w:line="240" w:lineRule="auto" w:before="0" w:after="0"/>
              <w:jc w:val="left"/>
            </w:pPr>
            <w:r/>
            <w:r>
              <w:rPr>
                <w:rFonts w:ascii="楷体_GB2312" w:hAnsi="楷体_GB2312" w:eastAsia="楷体_GB2312"/>
                <w:b w:val="0"/>
                <w:sz w:val="21"/>
              </w:rPr>
              <w:t>货币资金/短期债务（倍）</w:t>
            </w:r>
          </w:p>
        </w:tc>
        <w:tc>
          <w:tcPr>
            <w:tcW w:type="dxa" w:w="1066"/>
          </w:tcPr>
          <w:p>
            <w:pPr>
              <w:spacing w:line="240" w:lineRule="auto" w:before="0" w:after="0"/>
              <w:jc w:val="right"/>
            </w:pPr>
            <w:r/>
            <w:r>
              <w:rPr>
                <w:rFonts w:ascii="楷体_GB2312" w:hAnsi="楷体_GB2312" w:eastAsia="楷体_GB2312"/>
                <w:b w:val="0"/>
                <w:sz w:val="21"/>
              </w:rPr>
              <w:t>1.25</w:t>
            </w:r>
          </w:p>
        </w:tc>
        <w:tc>
          <w:tcPr>
            <w:tcW w:type="dxa" w:w="1066"/>
          </w:tcPr>
          <w:p>
            <w:pPr>
              <w:spacing w:line="240" w:lineRule="auto" w:before="0" w:after="0"/>
              <w:jc w:val="right"/>
            </w:pPr>
            <w:r/>
            <w:r>
              <w:rPr>
                <w:rFonts w:ascii="楷体_GB2312" w:hAnsi="楷体_GB2312" w:eastAsia="楷体_GB2312"/>
                <w:b w:val="0"/>
                <w:sz w:val="21"/>
              </w:rPr>
              <w:t>1.20</w:t>
            </w:r>
          </w:p>
        </w:tc>
        <w:tc>
          <w:tcPr>
            <w:tcW w:type="dxa" w:w="1066"/>
          </w:tcPr>
          <w:p>
            <w:pPr>
              <w:spacing w:line="240" w:lineRule="auto" w:before="0" w:after="0"/>
              <w:jc w:val="right"/>
            </w:pPr>
            <w:r/>
            <w:r>
              <w:rPr>
                <w:rFonts w:ascii="楷体_GB2312" w:hAnsi="楷体_GB2312" w:eastAsia="楷体_GB2312"/>
                <w:b w:val="0"/>
                <w:sz w:val="21"/>
              </w:rPr>
              <w:t>2.00</w:t>
            </w:r>
          </w:p>
        </w:tc>
        <w:tc>
          <w:tcPr>
            <w:tcW w:type="dxa" w:w="1066"/>
          </w:tcPr>
          <w:p>
            <w:pPr>
              <w:spacing w:line="240" w:lineRule="auto" w:before="0" w:after="0"/>
              <w:jc w:val="right"/>
            </w:pPr>
            <w:r/>
            <w:r>
              <w:rPr>
                <w:rFonts w:ascii="楷体_GB2312" w:hAnsi="楷体_GB2312" w:eastAsia="楷体_GB2312"/>
                <w:b w:val="0"/>
                <w:sz w:val="21"/>
              </w:rPr>
              <w:t>1.25</w:t>
            </w:r>
          </w:p>
        </w:tc>
      </w:tr>
      <w:tr>
        <w:tc>
          <w:tcPr>
            <w:tcW w:type="dxa" w:w="2835"/>
          </w:tcPr>
          <w:p>
            <w:pPr>
              <w:spacing w:line="240" w:lineRule="auto" w:before="0" w:after="0"/>
              <w:jc w:val="left"/>
            </w:pPr>
            <w:r/>
            <w:r>
              <w:rPr>
                <w:rFonts w:ascii="楷体_GB2312" w:hAnsi="楷体_GB2312" w:eastAsia="楷体_GB2312"/>
                <w:b w:val="0"/>
                <w:sz w:val="21"/>
              </w:rPr>
              <w:t>EBITDA利息保障倍数</w:t>
            </w:r>
          </w:p>
        </w:tc>
        <w:tc>
          <w:tcPr>
            <w:tcW w:type="dxa" w:w="1066"/>
          </w:tcPr>
          <w:p>
            <w:pPr>
              <w:spacing w:line="240" w:lineRule="auto" w:before="0" w:after="0"/>
              <w:jc w:val="right"/>
            </w:pPr>
            <w:r/>
            <w:r>
              <w:rPr>
                <w:rFonts w:ascii="楷体_GB2312" w:hAnsi="楷体_GB2312" w:eastAsia="楷体_GB2312"/>
                <w:b w:val="0"/>
                <w:sz w:val="21"/>
              </w:rPr>
              <w:t>5.18</w:t>
            </w:r>
          </w:p>
        </w:tc>
        <w:tc>
          <w:tcPr>
            <w:tcW w:type="dxa" w:w="1066"/>
          </w:tcPr>
          <w:p>
            <w:pPr>
              <w:spacing w:line="240" w:lineRule="auto" w:before="0" w:after="0"/>
              <w:jc w:val="right"/>
            </w:pPr>
            <w:r/>
            <w:r>
              <w:rPr>
                <w:rFonts w:ascii="楷体_GB2312" w:hAnsi="楷体_GB2312" w:eastAsia="楷体_GB2312"/>
                <w:b w:val="0"/>
                <w:sz w:val="21"/>
              </w:rPr>
              <w:t>-1.66</w:t>
            </w:r>
          </w:p>
        </w:tc>
        <w:tc>
          <w:tcPr>
            <w:tcW w:type="dxa" w:w="1066"/>
          </w:tcPr>
          <w:p>
            <w:pPr>
              <w:spacing w:line="240" w:lineRule="auto" w:before="0" w:after="0"/>
              <w:jc w:val="right"/>
            </w:pPr>
            <w:r/>
            <w:r>
              <w:rPr>
                <w:rFonts w:ascii="楷体_GB2312" w:hAnsi="楷体_GB2312" w:eastAsia="楷体_GB2312"/>
                <w:b w:val="0"/>
                <w:sz w:val="21"/>
              </w:rPr>
              <w:t>4.26</w:t>
            </w:r>
          </w:p>
        </w:tc>
        <w:tc>
          <w:tcPr>
            <w:tcW w:type="dxa" w:w="1066"/>
          </w:tcPr>
          <w:p>
            <w:pPr>
              <w:spacing w:line="240" w:lineRule="auto" w:before="0" w:after="0"/>
              <w:jc w:val="right"/>
            </w:pPr>
            <w:r/>
            <w:r>
              <w:rPr>
                <w:rFonts w:ascii="楷体_GB2312" w:hAnsi="楷体_GB2312" w:eastAsia="楷体_GB2312"/>
                <w:b w:val="0"/>
                <w:sz w:val="21"/>
              </w:rPr>
              <w:t>-0.60</w:t>
            </w:r>
          </w:p>
        </w:tc>
      </w:tr>
    </w:tbl>
    <w:p>
      <w:pPr>
        <w:spacing w:lineRule="auto" w:line="276" w:before="0" w:after="0"/>
        <w:ind w:firstLineChars="200" w:firstLine="420"/>
      </w:pPr>
      <w:r>
        <w:rPr>
          <w:rFonts w:ascii="楷体_GB2312" w:hAnsi="楷体_GB2312" w:eastAsia="楷体_GB2312"/>
          <w:b/>
          <w:sz w:val="21"/>
        </w:rPr>
        <w:t>公司债务负担较重，全部债务资本化比率上升，短期债务占比有所波动，可转债转股情况是影响后续债务负担和集中偿付压力的关键变量。</w:t>
      </w:r>
      <w:r>
        <w:rPr>
          <w:rFonts w:ascii="楷体_GB2312" w:hAnsi="楷体_GB2312" w:eastAsia="楷体_GB2312"/>
          <w:b w:val="0"/>
          <w:sz w:val="21"/>
        </w:rPr>
        <w:t>截至2026年6月末，公司负债总额93.31亿元，资产负债率69.69%，较2025年末上升2.37个百分点。全部债务方面，以有息债务口径计，2026年6月末有息债务55.15亿元，其中短期债务25.45亿元、长期债务29.70亿元，短期债务占有息债务的43.87%；2025年末有息债务43.95亿元，短期债务19.28亿元、长期债务24.67亿元。需说明的是，评级报告披露的2025年末全部债务为52.94亿元，与有息债务口径43.95亿元的差额主要来自应付票据等计入全部债务但未计入有息债务的科目。融资构成上，公司以可转换债券、银行借款和票据为主，2025年末应付债券23.13亿元（“科顺转债”）、短期借款14.88亿元、应付票据8.99亿元、长期借款1.22亿元。利息保障与经营获现方面，2025年EBITDA为-2.11亿元，EBITDA利息保障倍数-1.66倍，经营现金流净额3.20亿元；2026年1-6月EBITDA为2.62亿元，EBITDA利息保障倍数5.18倍，经营现金流净额1.95亿元，保障能力有所修复。非受限货币资金对短债覆盖方面，2025年末货币资金23.19亿元，受限比例30.68%，非受限货币资金约16.07亿元，对短期债务28.27亿元（全部债务口径）的覆盖程度一般。授信方面，截至2025年末公司获得银行授信额度合计73.00亿元，尚未使用额度47.00亿元，备用流动性较充足。或有事项方面，截至2025年末公司对外担保余额1.60亿元，占所有者权益的3.95%，系为下游经销商融资提供的担保，或有负债风险较为可控；未发现公司存在作为被告的、涉案金额在5000万元以上的未决诉讼、仲裁案件。</w:t>
      </w:r>
    </w:p>
    <w:p>
      <w:pPr>
        <w:spacing w:lineRule="auto" w:line="276" w:before="0" w:after="0"/>
        <w:ind w:firstLineChars="200" w:firstLine="420"/>
      </w:pPr>
      <w:r>
        <w:rPr>
          <w:rFonts w:ascii="楷体_GB2312" w:hAnsi="楷体_GB2312" w:eastAsia="楷体_GB2312"/>
          <w:b/>
          <w:sz w:val="21"/>
        </w:rPr>
        <w:t>“科顺转债”余额大、转股比例低，其转股进度对公司的债务负担和集中偿付压力具有决定性影响。</w:t>
      </w:r>
      <w:r>
        <w:rPr>
          <w:rFonts w:ascii="楷体_GB2312" w:hAnsi="楷体_GB2312" w:eastAsia="楷体_GB2312"/>
          <w:b w:val="0"/>
          <w:sz w:val="21"/>
        </w:rPr>
        <w:t>截至2026年5月底，“科顺转债”余额21.9782亿元，转股价格经多次调整后为6.61元/股，债券将于2029年8月到期。2026年5月公司股价运行在6.84元/股至8.34元/股之间，6月以来一度达到9.37元/股，触发部分转股，截至2026年6月9日债券余额降至21.9599亿元，但整体转股比例仍很低。若未来公司业绩持续低迷引发股价下行，债券持有人转股意愿下降而选择持有至到期，公司将面临集中偿付压力；债券设置的转股价格修正条款和有条件赎回条款有利于促进转股，但效果尚待观察。</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_GB2312" w:hAnsi="楷体_GB2312" w:eastAsia="楷体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