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{{企业全称}}  主体：【{{内部评级代码}}】</w:t>
      </w:r>
    </w:p>
    <w:p>
      <w:pPr>
        <w:spacing w:lineRule="auto" w:line="276" w:before="0" w:after="0"/>
        <w:ind w:firstLineChars="200" w:firstLine="420"/>
      </w:pP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正面：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1）{{正面一}}。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2）{{正面二}}。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3）{{正面三}}。</w:t>
      </w:r>
    </w:p>
    <w:p>
      <w:pPr>
        <w:spacing w:lineRule="auto" w:line="276" w:before="0" w:after="0"/>
        <w:ind w:firstLineChars="200" w:firstLine="420"/>
      </w:pP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关注：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1）{{关注一}}。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2）{{关注二}}。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3）{{关注三}}。</w:t>
      </w:r>
    </w:p>
    <w:p>
      <w:pPr>
        <w:spacing w:lineRule="auto" w:line="276" w:before="0" w:after="0"/>
        <w:ind w:firstLineChars="200" w:firstLine="420"/>
      </w:pPr>
    </w:p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1、基本情况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{{基本情况：成立时间与前身 → 主营与功能定位 → 注册资本、实收资本、股东及持股比例、实际控制人 → 报告期内股权或控制权变动 → 增资到位、上市状态、外部主体评级、并表子公司数量}}</w:t>
      </w:r>
    </w:p>
    <w:p>
      <w:pPr>
        <w:spacing w:lineRule="auto" w:line="276" w:before="0" w:after="0"/>
        <w:ind w:firstLineChars="200" w:firstLine="420"/>
      </w:pPr>
    </w:p>
    <w:p>
      <w:pPr>
        <w:spacing w:lineRule="auto" w:line="276" w:before="0" w:after="0"/>
        <w:jc w:val="left"/>
        <w:ind w:firstLineChars="200" w:firstLine="420"/>
      </w:pPr>
      <w:r>
        <w:rPr>
          <w:rFonts w:ascii="楷体_GB2312" w:hAnsi="楷体_GB2312" w:eastAsia="楷体_GB2312"/>
          <w:b/>
          <w:sz w:val="21"/>
        </w:rPr>
        <w:t>2、点评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{{总述段加粗汇总句：主体定位 + 经营趋势 + 但书}}</w:t>
      </w:r>
      <w:r>
        <w:rPr>
          <w:rFonts w:ascii="楷体_GB2312" w:hAnsi="楷体_GB2312" w:eastAsia="楷体_GB2312"/>
          <w:b w:val="0"/>
          <w:sz w:val="21"/>
        </w:rPr>
        <w:t>{{外部条件按三问展开（钱从谁那里来 / 量由什么决定 / 价由谁定）→ 经营与盈利主线数据 → 收入构成概览，末句引出业务构成表}}</w:t>
      </w:r>
    </w:p>
    <w:p>
      <w:pPr>
        <w:spacing w:lineRule="auto" w:line="276" w:before="0" w:after="0"/>
        <w:jc w:val="right"/>
      </w:pPr>
      <w:r>
        <w:rPr>
          <w:rFonts w:ascii="楷体_GB2312" w:hAnsi="楷体_GB2312" w:eastAsia="楷体_GB2312"/>
          <w:b w:val="0"/>
          <w:sz w:val="21"/>
        </w:rPr>
        <w:t>单位：亿元</w:t>
      </w:r>
    </w:p>
    <w:tbl>
      <w:tblPr>
        <w:tblStyle w:val="TableGrid"/>
        <w:tblW w:type="dxa" w:w="8318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2716"/>
        <w:gridCol w:w="2166"/>
        <w:gridCol w:w="1718"/>
        <w:gridCol w:w="1718"/>
      </w:tblGrid>
      <w:tr>
        <w:trPr>
          <w:cantSplit/>
          <w:trHeight w:val="227" w:hRule="atLeast"/>
        </w:trPr>
        <w:tc>
          <w:tcPr>
            <w:tcW w:type="dxa" w:w="2716"/>
            <w:vAlign w:val="center"/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业务板块</w:t>
            </w:r>
          </w:p>
        </w:tc>
        <w:tc>
          <w:tcPr>
            <w:tcW w:type="dxa" w:w="2166"/>
            <w:vAlign w:val="center"/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营业收入</w:t>
            </w:r>
          </w:p>
        </w:tc>
        <w:tc>
          <w:tcPr>
            <w:tcW w:type="dxa" w:w="1718"/>
            <w:vAlign w:val="center"/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收入占比</w:t>
            </w:r>
          </w:p>
        </w:tc>
        <w:tc>
          <w:tcPr>
            <w:tcW w:type="dxa" w:w="1718"/>
            <w:vAlign w:val="center"/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毛利率</w:t>
            </w:r>
          </w:p>
        </w:tc>
      </w:tr>
      <w:tr>
        <w:trPr>
          <w:cantSplit/>
          <w:trHeight w:val="227" w:hRule="atLeast"/>
        </w:trPr>
        <w:tc>
          <w:tcPr>
            <w:tcW w:type="dxa" w:w="2716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{{板块一}}</w:t>
            </w:r>
          </w:p>
        </w:tc>
        <w:tc>
          <w:tcPr>
            <w:tcW w:type="dxa" w:w="2166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18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18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2716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{{板块二}}</w:t>
            </w:r>
          </w:p>
        </w:tc>
        <w:tc>
          <w:tcPr>
            <w:tcW w:type="dxa" w:w="2166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18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718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2716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营业总收入</w:t>
            </w:r>
          </w:p>
        </w:tc>
        <w:tc>
          <w:tcPr>
            <w:tcW w:type="dxa" w:w="2166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{{}}</w:t>
            </w:r>
          </w:p>
        </w:tc>
        <w:tc>
          <w:tcPr>
            <w:tcW w:type="dxa" w:w="1718"/>
            <w:vAlign w:val="center"/>
          </w:tcPr>
          <w:p>
            <w:pPr>
              <w:spacing w:lineRule="auto" w:line="276" w:before="0" w:after="0"/>
              <w:jc w:val="righ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100.00%</w:t>
            </w:r>
          </w:p>
        </w:tc>
        <w:tc>
          <w:tcPr>
            <w:tcW w:type="dxa" w:w="1718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{{}}</w:t>
            </w:r>
          </w:p>
        </w:tc>
      </w:tr>
    </w:tbl>
    <w:p>
      <w:pPr>
        <w:spacing w:lineRule="auto" w:line="276" w:before="0" w:after="0"/>
        <w:ind w:firstLineChars="200" w:firstLine="420"/>
      </w:pP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1）{{板块一}}业务方面，{{业务模式与产出能力 → 报告期产出量（计量单位按业务性质选取）→ 价格或费率与收入 → 成本结构与毛利率变动原因 → 项目或订单储备 → 该板块风险点}}</w:t>
      </w: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 w:val="0"/>
          <w:sz w:val="21"/>
        </w:rPr>
        <w:t>2）{{板块二}}业务方面，{{同上}}</w:t>
      </w:r>
    </w:p>
    <w:p>
      <w:pPr>
        <w:spacing w:lineRule="auto" w:line="276" w:before="0" w:after="0"/>
        <w:ind w:firstLineChars="200" w:firstLine="420"/>
      </w:pP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{{资产段加粗汇总句：规模 + 结构 + 质量 + 受限}}</w:t>
      </w:r>
      <w:r>
        <w:rPr>
          <w:rFonts w:ascii="楷体_GB2312" w:hAnsi="楷体_GB2312" w:eastAsia="楷体_GB2312"/>
          <w:b w:val="0"/>
          <w:sz w:val="21"/>
        </w:rPr>
        <w:t>{{总资产规模 → 前五大科目金额及占比（按最新期次降序）→ 各科目主要构成 → 受限资产}}</w:t>
      </w:r>
    </w:p>
    <w:p>
      <w:pPr>
        <w:spacing w:lineRule="auto" w:line="276" w:before="0" w:after="0"/>
        <w:ind w:firstLineChars="200" w:firstLine="420"/>
      </w:pPr>
    </w:p>
    <w:p>
      <w:pPr>
        <w:spacing w:lineRule="auto" w:line="276" w:before="0" w:after="0"/>
        <w:jc w:val="center"/>
        <w:ind w:firstLineChars="200" w:firstLine="420"/>
      </w:pPr>
      <w:r>
        <w:rPr>
          <w:rFonts w:ascii="楷体_GB2312" w:hAnsi="楷体_GB2312" w:eastAsia="楷体_GB2312"/>
          <w:b/>
          <w:sz w:val="21"/>
        </w:rPr>
        <w:t>公司主要财务数据和财务指标（合并口径）</w:t>
      </w:r>
    </w:p>
    <w:p>
      <w:pPr>
        <w:spacing w:lineRule="auto" w:line="276" w:before="0" w:after="0"/>
        <w:jc w:val="right"/>
      </w:pPr>
      <w:r>
        <w:rPr>
          <w:rFonts w:ascii="楷体_GB2312" w:hAnsi="楷体_GB2312" w:eastAsia="楷体_GB2312"/>
          <w:b w:val="0"/>
          <w:sz w:val="21"/>
        </w:rPr>
        <w:t>单位：亿元</w:t>
      </w:r>
    </w:p>
    <w:tbl>
      <w:tblPr>
        <w:tblStyle w:val="TableGrid"/>
        <w:tblW w:type="dxa" w:w="8307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747"/>
        <w:gridCol w:w="1519"/>
        <w:gridCol w:w="1519"/>
        <w:gridCol w:w="1519"/>
      </w:tblGrid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项目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{{最新期末}}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{{最近完整年度}}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center"/>
            </w:pPr>
            <w:r/>
            <w:r>
              <w:rPr>
                <w:rFonts w:ascii="楷体_GB2312" w:hAnsi="楷体_GB2312" w:eastAsia="楷体_GB2312"/>
                <w:b/>
                <w:sz w:val="21"/>
              </w:rPr>
              <w:t>{{上一年度}}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资产总额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负债总额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所有者权益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资产负债率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营业总收入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净利润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经营活动现金流量净额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短期债务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长期债务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全部债务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总资本化比率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营业毛利率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EBITDA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  <w:tr>
        <w:trPr>
          <w:cantSplit/>
          <w:trHeight w:val="227" w:hRule="atLeast"/>
        </w:trPr>
        <w:tc>
          <w:tcPr>
            <w:tcW w:type="dxa" w:w="3747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货币资金/短期债务（倍）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  <w:tc>
          <w:tcPr>
            <w:tcW w:type="dxa" w:w="1519"/>
            <w:vAlign w:val="center"/>
          </w:tcPr>
          <w:p>
            <w:pPr>
              <w:spacing w:lineRule="auto" w:line="276" w:before="0" w:after="0"/>
              <w:jc w:val="left"/>
            </w:pPr>
            <w:r/>
            <w:r>
              <w:rPr>
                <w:rFonts w:ascii="楷体_GB2312" w:hAnsi="楷体_GB2312" w:eastAsia="楷体_GB2312"/>
                <w:b w:val="0"/>
                <w:sz w:val="21"/>
              </w:rPr>
              <w:t>{{}}</w:t>
            </w:r>
          </w:p>
        </w:tc>
      </w:tr>
    </w:tbl>
    <w:p>
      <w:pPr>
        <w:spacing w:lineRule="auto" w:line="276" w:before="0" w:after="0"/>
        <w:ind w:firstLineChars="200" w:firstLine="420"/>
      </w:pPr>
    </w:p>
    <w:p>
      <w:pPr>
        <w:spacing w:lineRule="auto" w:line="276" w:before="0" w:after="0"/>
        <w:ind w:firstLineChars="200" w:firstLine="420"/>
      </w:pPr>
      <w:r>
        <w:rPr>
          <w:rFonts w:ascii="楷体_GB2312" w:hAnsi="楷体_GB2312" w:eastAsia="楷体_GB2312"/>
          <w:b/>
          <w:sz w:val="21"/>
        </w:rPr>
        <w:t>{{债务段加粗汇总句：规模趋势 + 期限结构 + 即期压力 + 备用流动性}}</w:t>
      </w:r>
      <w:r>
        <w:rPr>
          <w:rFonts w:ascii="楷体_GB2312" w:hAnsi="楷体_GB2312" w:eastAsia="楷体_GB2312"/>
          <w:b w:val="0"/>
          <w:sz w:val="21"/>
        </w:rPr>
        <w:t>{{负债总额与资产负债率 → 全部债务及长短债结构 → 有息债务融资构成 → 利息保障与经营获现 → 非受限货币资金/短债 → 授信与未使用额度 → 或有事项}}</w:t>
      </w:r>
    </w:p>
    <w:p>
      <w:pPr>
        <w:spacing w:lineRule="auto" w:line="276" w:before="0" w:after="0"/>
        <w:ind w:firstLineChars="200" w:firstLine="420"/>
      </w:pP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_GB2312" w:hAnsi="楷体_GB2312" w:eastAsia="楷体_GB23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