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76" w:before="0" w:after="0"/>
        <w:jc w:val="left"/>
        <w:ind w:firstLineChars="200" w:firstLine="420"/>
      </w:pPr>
      <w:r>
        <w:rPr>
          <w:rFonts w:ascii="楷体_GB2312" w:hAnsi="楷体_GB2312" w:eastAsia="楷体_GB2312"/>
          <w:b/>
          <w:sz w:val="21"/>
        </w:rPr>
        <w:t>{{企业全称}}  主体：【{{内部评级代码}}】</w:t>
      </w:r>
    </w:p>
    <w:p>
      <w:pPr>
        <w:spacing w:lineRule="auto" w:line="276" w:before="0" w:after="0"/>
        <w:ind w:firstLineChars="200" w:firstLine="420"/>
      </w:pPr>
    </w:p>
    <w:p>
      <w:pPr>
        <w:spacing w:lineRule="auto" w:line="276" w:before="0" w:after="0"/>
        <w:ind w:firstLineChars="200" w:firstLine="420"/>
      </w:pPr>
      <w:r>
        <w:rPr>
          <w:rFonts w:ascii="楷体_GB2312" w:hAnsi="楷体_GB2312" w:eastAsia="楷体_GB2312"/>
          <w:b/>
          <w:sz w:val="21"/>
        </w:rPr>
        <w:t>正面：</w:t>
      </w:r>
    </w:p>
    <w:p>
      <w:pPr>
        <w:spacing w:lineRule="auto" w:line="276" w:before="0" w:after="0"/>
        <w:ind w:firstLineChars="200" w:firstLine="420"/>
      </w:pPr>
      <w:r>
        <w:rPr>
          <w:rFonts w:ascii="楷体_GB2312" w:hAnsi="楷体_GB2312" w:eastAsia="楷体_GB2312"/>
          <w:b w:val="0"/>
          <w:sz w:val="21"/>
        </w:rPr>
        <w:t>1）{{正面一}}。</w:t>
      </w:r>
    </w:p>
    <w:p>
      <w:pPr>
        <w:spacing w:lineRule="auto" w:line="276" w:before="0" w:after="0"/>
        <w:ind w:firstLineChars="200" w:firstLine="420"/>
      </w:pPr>
      <w:r>
        <w:rPr>
          <w:rFonts w:ascii="楷体_GB2312" w:hAnsi="楷体_GB2312" w:eastAsia="楷体_GB2312"/>
          <w:b w:val="0"/>
          <w:sz w:val="21"/>
        </w:rPr>
        <w:t>2）{{正面二}}。</w:t>
      </w:r>
    </w:p>
    <w:p>
      <w:pPr>
        <w:spacing w:lineRule="auto" w:line="276" w:before="0" w:after="0"/>
        <w:ind w:firstLineChars="200" w:firstLine="420"/>
      </w:pPr>
      <w:r>
        <w:rPr>
          <w:rFonts w:ascii="楷体_GB2312" w:hAnsi="楷体_GB2312" w:eastAsia="楷体_GB2312"/>
          <w:b w:val="0"/>
          <w:sz w:val="21"/>
        </w:rPr>
        <w:t>3）{{正面三}}。</w:t>
      </w:r>
    </w:p>
    <w:p>
      <w:pPr>
        <w:spacing w:lineRule="auto" w:line="276" w:before="0" w:after="0"/>
        <w:ind w:firstLineChars="200" w:firstLine="420"/>
      </w:pPr>
    </w:p>
    <w:p>
      <w:pPr>
        <w:spacing w:lineRule="auto" w:line="276" w:before="0" w:after="0"/>
        <w:ind w:firstLineChars="200" w:firstLine="420"/>
      </w:pPr>
      <w:r>
        <w:rPr>
          <w:rFonts w:ascii="楷体_GB2312" w:hAnsi="楷体_GB2312" w:eastAsia="楷体_GB2312"/>
          <w:b/>
          <w:sz w:val="21"/>
        </w:rPr>
        <w:t>关注：</w:t>
      </w:r>
    </w:p>
    <w:p>
      <w:pPr>
        <w:spacing w:lineRule="auto" w:line="276" w:before="0" w:after="0"/>
        <w:ind w:firstLineChars="200" w:firstLine="420"/>
      </w:pPr>
      <w:r>
        <w:rPr>
          <w:rFonts w:ascii="楷体_GB2312" w:hAnsi="楷体_GB2312" w:eastAsia="楷体_GB2312"/>
          <w:b w:val="0"/>
          <w:sz w:val="21"/>
        </w:rPr>
        <w:t>1）{{关注一}}。</w:t>
      </w:r>
    </w:p>
    <w:p>
      <w:pPr>
        <w:spacing w:lineRule="auto" w:line="276" w:before="0" w:after="0"/>
        <w:ind w:firstLineChars="200" w:firstLine="420"/>
      </w:pPr>
      <w:r>
        <w:rPr>
          <w:rFonts w:ascii="楷体_GB2312" w:hAnsi="楷体_GB2312" w:eastAsia="楷体_GB2312"/>
          <w:b w:val="0"/>
          <w:sz w:val="21"/>
        </w:rPr>
        <w:t>2）{{关注二}}。</w:t>
      </w:r>
    </w:p>
    <w:p>
      <w:pPr>
        <w:spacing w:lineRule="auto" w:line="276" w:before="0" w:after="0"/>
        <w:ind w:firstLineChars="200" w:firstLine="420"/>
      </w:pPr>
      <w:r>
        <w:rPr>
          <w:rFonts w:ascii="楷体_GB2312" w:hAnsi="楷体_GB2312" w:eastAsia="楷体_GB2312"/>
          <w:b w:val="0"/>
          <w:sz w:val="21"/>
        </w:rPr>
        <w:t>3）{{关注三}}。</w:t>
      </w:r>
    </w:p>
    <w:p>
      <w:pPr>
        <w:spacing w:lineRule="auto" w:line="276" w:before="0" w:after="0"/>
        <w:ind w:firstLineChars="200" w:firstLine="420"/>
      </w:pPr>
    </w:p>
    <w:p>
      <w:pPr>
        <w:spacing w:lineRule="auto" w:line="276" w:before="0" w:after="0"/>
        <w:jc w:val="left"/>
        <w:ind w:firstLineChars="200" w:firstLine="420"/>
      </w:pPr>
      <w:r>
        <w:rPr>
          <w:rFonts w:ascii="楷体_GB2312" w:hAnsi="楷体_GB2312" w:eastAsia="楷体_GB2312"/>
          <w:b/>
          <w:sz w:val="21"/>
        </w:rPr>
        <w:t>1、基本情况</w:t>
      </w:r>
    </w:p>
    <w:p>
      <w:pPr>
        <w:spacing w:lineRule="auto" w:line="276" w:before="0" w:after="0"/>
        <w:ind w:firstLineChars="200" w:firstLine="420"/>
      </w:pPr>
      <w:r>
        <w:rPr>
          <w:rFonts w:ascii="楷体_GB2312" w:hAnsi="楷体_GB2312" w:eastAsia="楷体_GB2312"/>
          <w:b w:val="0"/>
          <w:sz w:val="21"/>
        </w:rPr>
        <w:t>{{基本情况：成立时间与前身 → 主营与功能定位 → 注册资本、实收资本、股东及持股比例、实际控制人 → 报告期内股权或控制权变动 → 增资到位、上市状态、外部主体评级、并表子公司数量}}</w:t>
      </w:r>
    </w:p>
    <w:p>
      <w:pPr>
        <w:spacing w:lineRule="auto" w:line="276" w:before="0" w:after="0"/>
        <w:ind w:firstLineChars="200" w:firstLine="420"/>
      </w:pPr>
    </w:p>
    <w:p>
      <w:pPr>
        <w:spacing w:lineRule="auto" w:line="276" w:before="0" w:after="0"/>
        <w:jc w:val="left"/>
        <w:ind w:firstLineChars="200" w:firstLine="420"/>
      </w:pPr>
      <w:r>
        <w:rPr>
          <w:rFonts w:ascii="楷体_GB2312" w:hAnsi="楷体_GB2312" w:eastAsia="楷体_GB2312"/>
          <w:b/>
          <w:sz w:val="21"/>
        </w:rPr>
        <w:t>2、点评</w:t>
      </w:r>
    </w:p>
    <w:p>
      <w:pPr>
        <w:spacing w:lineRule="auto" w:line="276" w:before="0" w:after="0"/>
        <w:ind w:firstLineChars="200" w:firstLine="420"/>
      </w:pPr>
      <w:r>
        <w:rPr>
          <w:rFonts w:ascii="楷体_GB2312" w:hAnsi="楷体_GB2312" w:eastAsia="楷体_GB2312"/>
          <w:b/>
          <w:sz w:val="21"/>
        </w:rPr>
        <w:t>{{总述段加粗汇总句：主体定位 + 经营趋势 + 但书}}</w:t>
      </w:r>
      <w:r>
        <w:rPr>
          <w:rFonts w:ascii="楷体_GB2312" w:hAnsi="楷体_GB2312" w:eastAsia="楷体_GB2312"/>
          <w:b w:val="0"/>
          <w:sz w:val="21"/>
        </w:rPr>
        <w:t>{{外部条件按三问展开（钱从谁那里来 / 量由什么决定 / 价由谁定）→ 经营与盈利主线数据 → 收入构成概览，末句引出业务构成表}}</w:t>
      </w:r>
    </w:p>
    <w:p>
      <w:pPr>
        <w:keepNext/>
        <w:spacing w:lineRule="auto" w:line="276" w:before="0" w:after="0"/>
        <w:jc w:val="right"/>
      </w:pPr>
      <w:r>
        <w:rPr>
          <w:rFonts w:ascii="楷体_GB2312" w:hAnsi="楷体_GB2312" w:eastAsia="楷体_GB2312"/>
          <w:b w:val="0"/>
          <w:sz w:val="21"/>
        </w:rPr>
        <w:t>单位：亿元</w:t>
      </w:r>
    </w:p>
    <w:tbl>
      <w:tblPr>
        <w:tblStyle w:val="TableGrid"/>
        <w:tblW w:type="dxa" w:w="8318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1" w:firstRow="1" w:lastColumn="0" w:lastRow="0" w:noHBand="0" w:noVBand="1" w:val="04A0"/>
      </w:tblPr>
      <w:tblGrid>
        <w:gridCol w:w="2716"/>
        <w:gridCol w:w="2166"/>
        <w:gridCol w:w="1718"/>
        <w:gridCol w:w="1718"/>
      </w:tblGrid>
      <w:tr>
        <w:trPr>
          <w:cantSplit/>
          <w:trHeight w:val="227" w:hRule="atLeast"/>
          <w:tblHeader/>
        </w:trPr>
        <w:tc>
          <w:tcPr>
            <w:tcW w:type="dxa" w:w="2716"/>
            <w:vAlign w:val="center"/>
          </w:tcPr>
          <w:p>
            <w:pPr>
              <w:spacing w:lineRule="auto" w:line="276" w:before="0" w:after="0"/>
              <w:jc w:val="center"/>
            </w:pPr>
            <w:r/>
            <w:r>
              <w:rPr>
                <w:rFonts w:ascii="楷体_GB2312" w:hAnsi="楷体_GB2312" w:eastAsia="楷体_GB2312"/>
                <w:b/>
                <w:sz w:val="21"/>
              </w:rPr>
              <w:t>业务板块</w:t>
            </w:r>
          </w:p>
        </w:tc>
        <w:tc>
          <w:tcPr>
            <w:tcW w:type="dxa" w:w="2166"/>
            <w:vAlign w:val="center"/>
          </w:tcPr>
          <w:p>
            <w:pPr>
              <w:spacing w:lineRule="auto" w:line="276" w:before="0" w:after="0"/>
              <w:jc w:val="center"/>
            </w:pPr>
            <w:r/>
            <w:r>
              <w:rPr>
                <w:rFonts w:ascii="楷体_GB2312" w:hAnsi="楷体_GB2312" w:eastAsia="楷体_GB2312"/>
                <w:b/>
                <w:sz w:val="21"/>
              </w:rPr>
              <w:t>营业收入</w:t>
            </w:r>
          </w:p>
        </w:tc>
        <w:tc>
          <w:tcPr>
            <w:tcW w:type="dxa" w:w="1718"/>
            <w:vAlign w:val="center"/>
          </w:tcPr>
          <w:p>
            <w:pPr>
              <w:spacing w:lineRule="auto" w:line="276" w:before="0" w:after="0"/>
              <w:jc w:val="center"/>
            </w:pPr>
            <w:r/>
            <w:r>
              <w:rPr>
                <w:rFonts w:ascii="楷体_GB2312" w:hAnsi="楷体_GB2312" w:eastAsia="楷体_GB2312"/>
                <w:b/>
                <w:sz w:val="21"/>
              </w:rPr>
              <w:t>收入占比</w:t>
            </w:r>
          </w:p>
        </w:tc>
        <w:tc>
          <w:tcPr>
            <w:tcW w:type="dxa" w:w="1718"/>
            <w:vAlign w:val="center"/>
          </w:tcPr>
          <w:p>
            <w:pPr>
              <w:spacing w:lineRule="auto" w:line="276" w:before="0" w:after="0"/>
              <w:jc w:val="center"/>
            </w:pPr>
            <w:r/>
            <w:r>
              <w:rPr>
                <w:rFonts w:ascii="楷体_GB2312" w:hAnsi="楷体_GB2312" w:eastAsia="楷体_GB2312"/>
                <w:b/>
                <w:sz w:val="21"/>
              </w:rPr>
              <w:t>毛利率</w:t>
            </w:r>
          </w:p>
        </w:tc>
      </w:tr>
      <w:tr>
        <w:trPr>
          <w:cantSplit/>
          <w:trHeight w:val="227" w:hRule="atLeast"/>
        </w:trPr>
        <w:tc>
          <w:tcPr>
            <w:tcW w:type="dxa" w:w="2716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{{板块一}}</w:t>
            </w:r>
          </w:p>
        </w:tc>
        <w:tc>
          <w:tcPr>
            <w:tcW w:type="dxa" w:w="2166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  <w:tc>
          <w:tcPr>
            <w:tcW w:type="dxa" w:w="1718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  <w:tc>
          <w:tcPr>
            <w:tcW w:type="dxa" w:w="1718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</w:tr>
      <w:tr>
        <w:trPr>
          <w:cantSplit/>
          <w:trHeight w:val="227" w:hRule="atLeast"/>
        </w:trPr>
        <w:tc>
          <w:tcPr>
            <w:tcW w:type="dxa" w:w="2716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{{板块二}}</w:t>
            </w:r>
          </w:p>
        </w:tc>
        <w:tc>
          <w:tcPr>
            <w:tcW w:type="dxa" w:w="2166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  <w:tc>
          <w:tcPr>
            <w:tcW w:type="dxa" w:w="1718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  <w:tc>
          <w:tcPr>
            <w:tcW w:type="dxa" w:w="1718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</w:tr>
      <w:tr>
        <w:trPr>
          <w:cantSplit/>
          <w:trHeight w:val="227" w:hRule="atLeast"/>
        </w:trPr>
        <w:tc>
          <w:tcPr>
            <w:tcW w:type="dxa" w:w="2716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/>
                <w:sz w:val="21"/>
              </w:rPr>
              <w:t>营业总收入</w:t>
            </w:r>
          </w:p>
        </w:tc>
        <w:tc>
          <w:tcPr>
            <w:tcW w:type="dxa" w:w="2166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/>
                <w:sz w:val="21"/>
              </w:rPr>
              <w:t>{{}}</w:t>
            </w:r>
          </w:p>
        </w:tc>
        <w:tc>
          <w:tcPr>
            <w:tcW w:type="dxa" w:w="1718"/>
            <w:vAlign w:val="center"/>
          </w:tcPr>
          <w:p>
            <w:pPr>
              <w:spacing w:lineRule="auto" w:line="276" w:before="0" w:after="0"/>
              <w:jc w:val="right"/>
            </w:pPr>
            <w:r/>
            <w:r>
              <w:rPr>
                <w:rFonts w:ascii="楷体_GB2312" w:hAnsi="楷体_GB2312" w:eastAsia="楷体_GB2312"/>
                <w:b/>
                <w:sz w:val="21"/>
              </w:rPr>
              <w:t>100.00%</w:t>
            </w:r>
          </w:p>
        </w:tc>
        <w:tc>
          <w:tcPr>
            <w:tcW w:type="dxa" w:w="1718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/>
                <w:sz w:val="21"/>
              </w:rPr>
              <w:t>{{}}</w:t>
            </w:r>
          </w:p>
        </w:tc>
      </w:tr>
    </w:tbl>
    <w:p>
      <w:pPr>
        <w:spacing w:lineRule="auto" w:line="276" w:before="0" w:after="0"/>
        <w:ind w:firstLineChars="200" w:firstLine="420"/>
      </w:pPr>
    </w:p>
    <w:p>
      <w:pPr>
        <w:spacing w:lineRule="auto" w:line="276" w:before="0" w:after="0"/>
        <w:ind w:firstLineChars="200" w:firstLine="420"/>
      </w:pPr>
      <w:r>
        <w:rPr>
          <w:rFonts w:ascii="楷体_GB2312" w:hAnsi="楷体_GB2312" w:eastAsia="楷体_GB2312"/>
          <w:b w:val="0"/>
          <w:sz w:val="21"/>
        </w:rPr>
        <w:t>1）{{板块一}}业务方面，{{业务模式与产出能力 → 报告期产出量（计量单位按业务性质选取）→ 价格或费率与收入 → 成本结构与毛利率变动原因 → 项目或订单储备 → 该板块风险点}}</w:t>
      </w:r>
    </w:p>
    <w:p>
      <w:pPr>
        <w:spacing w:lineRule="auto" w:line="276" w:before="0" w:after="0"/>
        <w:ind w:firstLineChars="200" w:firstLine="420"/>
      </w:pPr>
      <w:r>
        <w:rPr>
          <w:rFonts w:ascii="楷体_GB2312" w:hAnsi="楷体_GB2312" w:eastAsia="楷体_GB2312"/>
          <w:b w:val="0"/>
          <w:sz w:val="21"/>
        </w:rPr>
        <w:t>2）{{板块二}}业务方面，{{同上}}</w:t>
      </w:r>
    </w:p>
    <w:p>
      <w:pPr>
        <w:spacing w:lineRule="auto" w:line="276" w:before="0" w:after="0"/>
        <w:ind w:firstLineChars="200" w:firstLine="420"/>
      </w:pPr>
    </w:p>
    <w:p>
      <w:pPr>
        <w:spacing w:lineRule="auto" w:line="276" w:before="0" w:after="0"/>
        <w:ind w:firstLineChars="200" w:firstLine="420"/>
      </w:pPr>
      <w:r>
        <w:rPr>
          <w:rFonts w:ascii="楷体_GB2312" w:hAnsi="楷体_GB2312" w:eastAsia="楷体_GB2312"/>
          <w:b/>
          <w:sz w:val="21"/>
        </w:rPr>
        <w:t>{{资产段加粗汇总句：规模 + 结构 + 质量 + 受限}}</w:t>
      </w:r>
      <w:r>
        <w:rPr>
          <w:rFonts w:ascii="楷体_GB2312" w:hAnsi="楷体_GB2312" w:eastAsia="楷体_GB2312"/>
          <w:b w:val="0"/>
          <w:sz w:val="21"/>
        </w:rPr>
        <w:t>{{总资产规模 → 前五大科目金额及占比（按最新期次降序）→ 各科目主要构成 → 受限资产}}</w:t>
      </w:r>
    </w:p>
    <w:p>
      <w:pPr>
        <w:spacing w:lineRule="auto" w:line="276" w:before="0" w:after="0"/>
        <w:ind w:firstLineChars="200" w:firstLine="420"/>
      </w:pPr>
    </w:p>
    <w:p>
      <w:pPr>
        <w:keepNext/>
        <w:spacing w:lineRule="auto" w:line="276" w:before="0" w:after="0"/>
        <w:jc w:val="center"/>
        <w:ind w:firstLineChars="200" w:firstLine="420"/>
      </w:pPr>
      <w:r>
        <w:rPr>
          <w:rFonts w:ascii="楷体_GB2312" w:hAnsi="楷体_GB2312" w:eastAsia="楷体_GB2312"/>
          <w:b/>
          <w:sz w:val="21"/>
        </w:rPr>
        <w:t>公司主要财务数据和财务指标（合并口径）</w:t>
      </w:r>
    </w:p>
    <w:p>
      <w:pPr>
        <w:keepNext/>
        <w:spacing w:lineRule="auto" w:line="276" w:before="0" w:after="0"/>
        <w:jc w:val="right"/>
      </w:pPr>
      <w:r>
        <w:rPr>
          <w:rFonts w:ascii="楷体_GB2312" w:hAnsi="楷体_GB2312" w:eastAsia="楷体_GB2312"/>
          <w:b w:val="0"/>
          <w:sz w:val="21"/>
        </w:rPr>
        <w:t>单位：亿元</w:t>
      </w:r>
    </w:p>
    <w:tbl>
      <w:tblPr>
        <w:tblStyle w:val="TableGrid"/>
        <w:tblW w:type="dxa" w:w="8307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1" w:firstRow="1" w:lastColumn="0" w:lastRow="0" w:noHBand="0" w:noVBand="1" w:val="04A0"/>
      </w:tblPr>
      <w:tblGrid>
        <w:gridCol w:w="3657"/>
        <w:gridCol w:w="1996"/>
        <w:gridCol w:w="1327"/>
        <w:gridCol w:w="1327"/>
      </w:tblGrid>
      <w:tr>
        <w:trPr>
          <w:cantSplit/>
          <w:trHeight w:val="227" w:hRule="atLeast"/>
          <w:tblHeader/>
        </w:trPr>
        <w:tc>
          <w:tcPr>
            <w:tcW w:type="dxa" w:w="3657"/>
            <w:vAlign w:val="center"/>
          </w:tcPr>
          <w:p>
            <w:pPr>
              <w:spacing w:lineRule="auto" w:line="276" w:before="0" w:after="0"/>
              <w:jc w:val="center"/>
            </w:pPr>
            <w:r/>
            <w:r>
              <w:rPr>
                <w:rFonts w:ascii="楷体_GB2312" w:hAnsi="楷体_GB2312" w:eastAsia="楷体_GB2312"/>
                <w:b/>
                <w:sz w:val="21"/>
              </w:rPr>
              <w:t>项目</w:t>
            </w:r>
          </w:p>
        </w:tc>
        <w:tc>
          <w:tcPr>
            <w:tcW w:type="dxa" w:w="1996"/>
            <w:vAlign w:val="center"/>
          </w:tcPr>
          <w:p>
            <w:pPr>
              <w:spacing w:lineRule="auto" w:line="276" w:before="0" w:after="0"/>
              <w:jc w:val="center"/>
            </w:pPr>
            <w:r/>
            <w:r>
              <w:rPr>
                <w:rFonts w:ascii="楷体_GB2312" w:hAnsi="楷体_GB2312" w:eastAsia="楷体_GB2312"/>
                <w:b/>
                <w:sz w:val="21"/>
              </w:rPr>
              <w:t>{{最新期末}}</w:t>
            </w:r>
          </w:p>
        </w:tc>
        <w:tc>
          <w:tcPr>
            <w:tcW w:type="dxa" w:w="1327"/>
            <w:vAlign w:val="center"/>
          </w:tcPr>
          <w:p>
            <w:pPr>
              <w:spacing w:lineRule="auto" w:line="276" w:before="0" w:after="0"/>
              <w:jc w:val="center"/>
            </w:pPr>
            <w:r/>
            <w:r>
              <w:rPr>
                <w:rFonts w:ascii="楷体_GB2312" w:hAnsi="楷体_GB2312" w:eastAsia="楷体_GB2312"/>
                <w:b/>
                <w:sz w:val="21"/>
              </w:rPr>
              <w:t>{{最近完整年度}}</w:t>
            </w:r>
          </w:p>
        </w:tc>
        <w:tc>
          <w:tcPr>
            <w:tcW w:type="dxa" w:w="1327"/>
            <w:vAlign w:val="center"/>
          </w:tcPr>
          <w:p>
            <w:pPr>
              <w:spacing w:lineRule="auto" w:line="276" w:before="0" w:after="0"/>
              <w:jc w:val="center"/>
            </w:pPr>
            <w:r/>
            <w:r>
              <w:rPr>
                <w:rFonts w:ascii="楷体_GB2312" w:hAnsi="楷体_GB2312" w:eastAsia="楷体_GB2312"/>
                <w:b/>
                <w:sz w:val="21"/>
              </w:rPr>
              <w:t>{{上一年度}}</w:t>
            </w:r>
          </w:p>
        </w:tc>
      </w:tr>
      <w:tr>
        <w:trPr>
          <w:cantSplit/>
          <w:trHeight w:val="227" w:hRule="atLeast"/>
        </w:trPr>
        <w:tc>
          <w:tcPr>
            <w:tcW w:type="dxa" w:w="3657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资产总额</w:t>
            </w:r>
          </w:p>
        </w:tc>
        <w:tc>
          <w:tcPr>
            <w:tcW w:type="dxa" w:w="1996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  <w:tc>
          <w:tcPr>
            <w:tcW w:type="dxa" w:w="1327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  <w:tc>
          <w:tcPr>
            <w:tcW w:type="dxa" w:w="1327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</w:tr>
      <w:tr>
        <w:trPr>
          <w:cantSplit/>
          <w:trHeight w:val="227" w:hRule="atLeast"/>
        </w:trPr>
        <w:tc>
          <w:tcPr>
            <w:tcW w:type="dxa" w:w="3657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负债总额</w:t>
            </w:r>
          </w:p>
        </w:tc>
        <w:tc>
          <w:tcPr>
            <w:tcW w:type="dxa" w:w="1996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  <w:tc>
          <w:tcPr>
            <w:tcW w:type="dxa" w:w="1327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  <w:tc>
          <w:tcPr>
            <w:tcW w:type="dxa" w:w="1327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</w:tr>
      <w:tr>
        <w:trPr>
          <w:cantSplit/>
          <w:trHeight w:val="227" w:hRule="atLeast"/>
        </w:trPr>
        <w:tc>
          <w:tcPr>
            <w:tcW w:type="dxa" w:w="3657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所有者权益</w:t>
            </w:r>
          </w:p>
        </w:tc>
        <w:tc>
          <w:tcPr>
            <w:tcW w:type="dxa" w:w="1996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  <w:tc>
          <w:tcPr>
            <w:tcW w:type="dxa" w:w="1327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  <w:tc>
          <w:tcPr>
            <w:tcW w:type="dxa" w:w="1327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</w:tr>
      <w:tr>
        <w:trPr>
          <w:cantSplit/>
          <w:trHeight w:val="227" w:hRule="atLeast"/>
        </w:trPr>
        <w:tc>
          <w:tcPr>
            <w:tcW w:type="dxa" w:w="3657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资产负债率</w:t>
            </w:r>
          </w:p>
        </w:tc>
        <w:tc>
          <w:tcPr>
            <w:tcW w:type="dxa" w:w="1996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  <w:tc>
          <w:tcPr>
            <w:tcW w:type="dxa" w:w="1327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  <w:tc>
          <w:tcPr>
            <w:tcW w:type="dxa" w:w="1327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</w:tr>
      <w:tr>
        <w:trPr>
          <w:cantSplit/>
          <w:trHeight w:val="227" w:hRule="atLeast"/>
        </w:trPr>
        <w:tc>
          <w:tcPr>
            <w:tcW w:type="dxa" w:w="3657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营业总收入</w:t>
            </w:r>
          </w:p>
        </w:tc>
        <w:tc>
          <w:tcPr>
            <w:tcW w:type="dxa" w:w="1996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  <w:tc>
          <w:tcPr>
            <w:tcW w:type="dxa" w:w="1327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  <w:tc>
          <w:tcPr>
            <w:tcW w:type="dxa" w:w="1327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</w:tr>
      <w:tr>
        <w:trPr>
          <w:cantSplit/>
          <w:trHeight w:val="227" w:hRule="atLeast"/>
        </w:trPr>
        <w:tc>
          <w:tcPr>
            <w:tcW w:type="dxa" w:w="3657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净利润</w:t>
            </w:r>
          </w:p>
        </w:tc>
        <w:tc>
          <w:tcPr>
            <w:tcW w:type="dxa" w:w="1996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  <w:tc>
          <w:tcPr>
            <w:tcW w:type="dxa" w:w="1327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  <w:tc>
          <w:tcPr>
            <w:tcW w:type="dxa" w:w="1327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</w:tr>
      <w:tr>
        <w:trPr>
          <w:cantSplit/>
          <w:trHeight w:val="227" w:hRule="atLeast"/>
        </w:trPr>
        <w:tc>
          <w:tcPr>
            <w:tcW w:type="dxa" w:w="3657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经营活动现金流量净额</w:t>
            </w:r>
          </w:p>
        </w:tc>
        <w:tc>
          <w:tcPr>
            <w:tcW w:type="dxa" w:w="1996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  <w:tc>
          <w:tcPr>
            <w:tcW w:type="dxa" w:w="1327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  <w:tc>
          <w:tcPr>
            <w:tcW w:type="dxa" w:w="1327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</w:tr>
      <w:tr>
        <w:trPr>
          <w:cantSplit/>
          <w:trHeight w:val="227" w:hRule="atLeast"/>
        </w:trPr>
        <w:tc>
          <w:tcPr>
            <w:tcW w:type="dxa" w:w="3657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短期债务</w:t>
            </w:r>
          </w:p>
        </w:tc>
        <w:tc>
          <w:tcPr>
            <w:tcW w:type="dxa" w:w="1996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  <w:tc>
          <w:tcPr>
            <w:tcW w:type="dxa" w:w="1327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  <w:tc>
          <w:tcPr>
            <w:tcW w:type="dxa" w:w="1327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</w:tr>
      <w:tr>
        <w:trPr>
          <w:cantSplit/>
          <w:trHeight w:val="227" w:hRule="atLeast"/>
        </w:trPr>
        <w:tc>
          <w:tcPr>
            <w:tcW w:type="dxa" w:w="3657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长期债务</w:t>
            </w:r>
          </w:p>
        </w:tc>
        <w:tc>
          <w:tcPr>
            <w:tcW w:type="dxa" w:w="1996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  <w:tc>
          <w:tcPr>
            <w:tcW w:type="dxa" w:w="1327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  <w:tc>
          <w:tcPr>
            <w:tcW w:type="dxa" w:w="1327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</w:tr>
      <w:tr>
        <w:trPr>
          <w:cantSplit/>
          <w:trHeight w:val="227" w:hRule="atLeast"/>
        </w:trPr>
        <w:tc>
          <w:tcPr>
            <w:tcW w:type="dxa" w:w="3657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全部债务</w:t>
            </w:r>
          </w:p>
        </w:tc>
        <w:tc>
          <w:tcPr>
            <w:tcW w:type="dxa" w:w="1996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  <w:tc>
          <w:tcPr>
            <w:tcW w:type="dxa" w:w="1327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  <w:tc>
          <w:tcPr>
            <w:tcW w:type="dxa" w:w="1327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</w:tr>
      <w:tr>
        <w:trPr>
          <w:cantSplit/>
          <w:trHeight w:val="227" w:hRule="atLeast"/>
        </w:trPr>
        <w:tc>
          <w:tcPr>
            <w:tcW w:type="dxa" w:w="3657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总资本化比率</w:t>
            </w:r>
          </w:p>
        </w:tc>
        <w:tc>
          <w:tcPr>
            <w:tcW w:type="dxa" w:w="1996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  <w:tc>
          <w:tcPr>
            <w:tcW w:type="dxa" w:w="1327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  <w:tc>
          <w:tcPr>
            <w:tcW w:type="dxa" w:w="1327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</w:tr>
      <w:tr>
        <w:trPr>
          <w:cantSplit/>
          <w:trHeight w:val="227" w:hRule="atLeast"/>
        </w:trPr>
        <w:tc>
          <w:tcPr>
            <w:tcW w:type="dxa" w:w="3657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营业毛利率</w:t>
            </w:r>
          </w:p>
        </w:tc>
        <w:tc>
          <w:tcPr>
            <w:tcW w:type="dxa" w:w="1996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  <w:tc>
          <w:tcPr>
            <w:tcW w:type="dxa" w:w="1327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  <w:tc>
          <w:tcPr>
            <w:tcW w:type="dxa" w:w="1327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</w:tr>
      <w:tr>
        <w:trPr>
          <w:cantSplit/>
          <w:trHeight w:val="227" w:hRule="atLeast"/>
        </w:trPr>
        <w:tc>
          <w:tcPr>
            <w:tcW w:type="dxa" w:w="3657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EBITDA</w:t>
            </w:r>
          </w:p>
        </w:tc>
        <w:tc>
          <w:tcPr>
            <w:tcW w:type="dxa" w:w="1996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  <w:tc>
          <w:tcPr>
            <w:tcW w:type="dxa" w:w="1327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  <w:tc>
          <w:tcPr>
            <w:tcW w:type="dxa" w:w="1327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</w:tr>
      <w:tr>
        <w:trPr>
          <w:cantSplit/>
          <w:trHeight w:val="227" w:hRule="atLeast"/>
        </w:trPr>
        <w:tc>
          <w:tcPr>
            <w:tcW w:type="dxa" w:w="3657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货币资金/短期债务（倍）</w:t>
            </w:r>
          </w:p>
        </w:tc>
        <w:tc>
          <w:tcPr>
            <w:tcW w:type="dxa" w:w="1996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  <w:tc>
          <w:tcPr>
            <w:tcW w:type="dxa" w:w="1327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  <w:tc>
          <w:tcPr>
            <w:tcW w:type="dxa" w:w="1327"/>
            <w:vAlign w:val="center"/>
          </w:tcPr>
          <w:p>
            <w:pPr>
              <w:spacing w:lineRule="auto" w:line="276" w:before="0" w:after="0"/>
              <w:jc w:val="left"/>
            </w:pPr>
            <w:r/>
            <w:r>
              <w:rPr>
                <w:rFonts w:ascii="楷体_GB2312" w:hAnsi="楷体_GB2312" w:eastAsia="楷体_GB2312"/>
                <w:b w:val="0"/>
                <w:sz w:val="21"/>
              </w:rPr>
              <w:t>{{}}</w:t>
            </w:r>
          </w:p>
        </w:tc>
      </w:tr>
    </w:tbl>
    <w:p>
      <w:pPr>
        <w:spacing w:lineRule="auto" w:line="276" w:before="0" w:after="0"/>
        <w:ind w:firstLineChars="200" w:firstLine="420"/>
      </w:pPr>
    </w:p>
    <w:p>
      <w:pPr>
        <w:spacing w:lineRule="auto" w:line="276" w:before="0" w:after="0"/>
        <w:ind w:firstLineChars="200" w:firstLine="420"/>
      </w:pPr>
      <w:r>
        <w:rPr>
          <w:rFonts w:ascii="楷体_GB2312" w:hAnsi="楷体_GB2312" w:eastAsia="楷体_GB2312"/>
          <w:b/>
          <w:sz w:val="21"/>
        </w:rPr>
        <w:t>{{债务段加粗汇总句：规模趋势 + 期限结构 + 即期压力 + 备用流动性}}</w:t>
      </w:r>
      <w:r>
        <w:rPr>
          <w:rFonts w:ascii="楷体_GB2312" w:hAnsi="楷体_GB2312" w:eastAsia="楷体_GB2312"/>
          <w:b w:val="0"/>
          <w:sz w:val="21"/>
        </w:rPr>
        <w:t>{{负债总额与资产负债率 → 全部债务及长短债结构 → 有息债务融资构成 → 利息保障与经营获现 → 非受限货币资金/短债 → 授信与未使用额度 → 或有事项}}</w:t>
      </w:r>
    </w:p>
    <w:p>
      <w:pPr>
        <w:spacing w:lineRule="auto" w:line="276" w:before="0" w:after="0"/>
        <w:ind w:firstLineChars="200" w:firstLine="420"/>
      </w:pP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_GB2312" w:hAnsi="楷体_GB2312" w:eastAsia="楷体_GB231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