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无锡苏南国际机场集团有限公司  主体：【待填】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正面：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1）苏锡两地经济发达且互联互通持续推进，为公司客货流量增长提供腹地支撑。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2）航空性业务各项运营指标持续增长，旅客吞吐量突破千万人次并创历史新高。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3）营业收入随业务量扩张稳步提升，营业毛利率持续修复，盈利水平在同行业中处于较好水平。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4）经营获现能力稳步增强，非受限货币资金对短期债务形成覆盖，备用流动性充足。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关注：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1）苏南硕放国际机场为军民合用机场且设计容量有限，业务量快速增长对保障能力形成压力。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2）苏南硕放改扩建工程等在建项目持续推进，资本支出规模较大，推升债务规模与财务杠杆。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3）净利润绝对规模较小，对政府补助等非经常性损益依赖程度较高。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4）存货以待开发土地为主，资产流动性偏弱，短期偿债更多依赖再融资与经营获现。</w:t>
      </w: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1、基本情况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公司成立于2006年4月13日，前身为无锡空港产业投资有限公司，现注册资本255,000.00万元、实收资本244,500.00万元，股东为无锡市国发资本运营有限公司（持股66.67%）和无锡空港园区发展有限公司（持股33.33%），实际控制人为无锡市人民政府国有资产监督管理委员会。公司承担苏南硕放国际机场的建设、运营及管理，主营航空性业务与非航空性延伸服务，服务无锡、苏州两地。2023年2月三家股东按持股比例合计增资105,000.00万元，注册资本增至255,000.00万元；2022年以来股东已到位增资94,500.00万元，剩余10,500.00万元尚未支付。公司主体评级历史为AA+（2023年上调至AA+后维持），合并范围包括苏南硕放国际机场有限公司等多家子公司。</w:t>
      </w: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2、点评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公司区位优势突出，航空性业务量持续增长带动收入与毛利率修复，但项目建设推升债务规模，整体偿债能力仍较强。</w:t>
      </w:r>
      <w:r>
        <w:rPr>
          <w:rFonts w:ascii="楷体_GB2312" w:hAnsi="楷体_GB2312" w:eastAsia="楷体_GB2312"/>
          <w:b w:val="0"/>
          <w:sz w:val="21"/>
        </w:rPr>
        <w:t>苏南硕放国际机场位于长江三角洲腹地，主要服务无锡、苏州两市，2024年两市合计实现地区生产总值4.30万亿元，腹地经济发达为客运量及旅客结构提供支撑；2025年初312国道望虞河大桥衔接段建成通车，苏州中环旅客15分钟可通达机场，互联互通进一步改善。经营层面，2024年旅客吞吐量1,050.43万人次、货邮吞吐量17.35万吨、飞机起降架次8.13万架次，同比分别增长19.40%、38.18%和13.48%，旅客吞吐量突破千万人次并创历史新高；2025年1-3月三项指标同比继续增长。受益于业务量扩张，2025年营业收入8.08亿元，营业毛利率26.49%，较2024年的23.23%进一步提升；2026年1-6月营业收入3.95亿元，营业毛利率24.85%。收入结构上，航空性业务与非航空性业务共同构成营业收入，非航板块中地面保障服务、租赁、货站操作等与机场联动性较强。整体来看，公司经营主线稳健，盈利能力持续修复，但净利润绝对规模较小，对政府补助依赖度较高。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30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业务板块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营业收入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收入占比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毛利率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航空性业务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3.98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55.90%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非航空性业务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3.14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44.10%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营业总收入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8.08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100.00%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26.49%</w:t>
            </w:r>
          </w:p>
        </w:tc>
      </w:tr>
    </w:tbl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航空性业务方面，公司航空性业务由下属苏南硕放国际机场有限公司运营，收入主要包括飞机起降服务收入、旅客服务收入及安检服务收入，业务模式为向在机场运营的航空公司按架次、旅客及货物吞吐量收取相关费用。截至2025年3月末，共有23家航空公司提供航空运输服务，其中国内16家、国际7家，基地航司为东方航空和深圳航空，2024年两家基地航司合计旅客吞吐量占比56.48%。量价方面，2024年旅客吞吐量1,050.43万人次、货邮吞吐量17.35万吨、飞机起降架次8.13万架次，同比分别增长19.40%、38.18%和13.48%；2025年1-3月旅客吞吐量258.86万人次、货邮吞吐量4.21万吨、飞机起降架次1.97万架次，同比分别增长4.20%、15.28%和1.31%。收入端，2024年航空性业务收入3.98亿元，较2023年的3.34亿元增长；毛利率方面，2023年航空性业务毛利率10.37%，2024年1-3月为11.64%，随业务量恢复呈修复态势。项目储备上，苏南硕放改扩建工程预计2026年建成投用，货邮保障能力将提升至50万吨/年。该板块风险点在于机场为军民合用机场且设计容量为1,200万人次/年，业务量快速增长对保障能力形成挑战，同时周边机场密集、同业竞争较为激烈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非航空性业务方面，公司非航空性业务主要包括地面保障服务、租赁、货站操作、贵宾服务、停车场、广告及其他业务，由机场公司及空港物流、机场经营管理等子公司运营，业务模式为向航空公司、商户及旅客提供延伸服务并收取费用。2024年非航业务收入3.14亿元，较2023年的2.31亿元增长；其中地面保障服务收入0.88亿元、租赁收入0.75亿元、货站操作费收入0.43亿元、贵宾服务收入0.29亿元、停车场收入0.17亿元、广告收入0.10亿元、其他0.52亿元。货站操作业务与货邮吞吐量密切相关，2024年收入同比增长38.71%；停车场收入与上年基本持平，主要受周边停车场分流及商务旅客占比下降影响；广告业务受自媒体冲击，收入同比下降9.09%；其他业务收入增长主要系2024年6月底自建无锡机场佰翔花园酒店投运。毛利率方面，非航业务2023年毛利率20.74%，2024年1-3月为51.26%，波动较大。该板块风险点在于广告等部分业务增长空间受限，非航收入对航空性客流量的依赖性较强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资产规模随改扩建工程推进持续扩张，以在建工程、固定资产等非流动资产为主，整体资产流动性偏弱。</w:t>
      </w:r>
      <w:r>
        <w:rPr>
          <w:rFonts w:ascii="楷体_GB2312" w:hAnsi="楷体_GB2312" w:eastAsia="楷体_GB2312"/>
          <w:b w:val="0"/>
          <w:sz w:val="21"/>
        </w:rPr>
        <w:t>2026年6月末公司总资产73.50亿元，较2025年末的72.17亿元进一步增长，主要受苏南硕放改扩建工程持续投入带动。从结构看，前五大科目为在建工程24.03亿元、固定资产18.79亿元、存货8.35亿元、货币资金8.35亿元和应收账款1.26亿元。在建工程主要为苏南硕放机场改扩建工程（原航站区配套工程）等项目建设投入，2025年末该科目余额23.35亿元，工程累计投入占预算比例60.98%；固定资产主要为房屋建筑物、机器设备等机场运营资产，2025年末账面价值19.24亿元，其中部分房产尚未办妥产权证书，保障房用于招商银行借款抵押；存货主要为待开发的土地资产，2025年末账面价值8.35亿元，变现能力较弱；货币资金2026年6月末为8.35亿元，较2025年末的4.82亿元明显回升；应收账款主要为对深圳航空、东方航空等航空公司的往来款，账龄以1年以内为主，坏账计提比例较低。整体来看，公司资产以机场基础设施类非流动资产为主，资产流动性一般，但资产质量与机场运营的匹配度较好。</w:t>
      </w:r>
    </w:p>
    <w:p>
      <w:pPr>
        <w:spacing w:lineRule="auto" w:line="276" w:before="0" w:after="0"/>
        <w:jc w:val="center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公司主要财务数据和财务指标（合并口径）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项目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2026年6月末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2025年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2024年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2023年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资产总额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73.50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72.17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68.77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54.62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负债总额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35.65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34.34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31.14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17.07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资产负债率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48.50%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47.58%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45.28%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31.25%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营业收入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3.95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8.08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7.12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5.66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营业毛利率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24.85%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26.49%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23.23%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14.61%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净利润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0.02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0.01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0.01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0.01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总债务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16.87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16.38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16.25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7.90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总资本化比率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30.83%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30.22%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30.16%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17.38%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经营活动现金流量净额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2.37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1.19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1.49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1.24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货币资金/短期债务（倍）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4.49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1.67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2.29</w:t>
            </w:r>
          </w:p>
        </w:tc>
        <w:tc>
          <w:tcPr>
            <w:tcW w:type="dxa" w:w="1066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2.07</w:t>
            </w:r>
          </w:p>
        </w:tc>
      </w:tr>
    </w:tbl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负债规模随项目建设上升，财务杠杆仍处同行业较低水平，短期偿债压力可控。</w:t>
      </w:r>
      <w:r>
        <w:rPr>
          <w:rFonts w:ascii="楷体_GB2312" w:hAnsi="楷体_GB2312" w:eastAsia="楷体_GB2312"/>
          <w:b w:val="0"/>
          <w:sz w:val="21"/>
        </w:rPr>
        <w:t>2026年6月末公司负债总额35.65亿元，资产负债率48.50%，较2025年末的47.58%小幅上升，主要系改扩建工程推进带来的融资需求增加。全部债务方面，2026年6月末有息债务16.87亿元，其中短期债务1.86亿元、长期债务15.01亿元，长短期结构以长期为主，期限结构较优；需说明的是，台账中有息债务口径不含政府专项债等，与全部债务口径存在差异，差额主要来源于政府专项债等长期资金。融资构成上，有息债务以银行借款和应付债券为主，2025年末长期借款余额7.49亿元（其中保证借款1.997亿元、信用借款5.31亿元、抵押及保证借款1.11亿元），另有中期票据存续。利息保障方面，2025年EBITDA利息保障倍数9.79倍，经营现金流对利息的覆盖能力较好；2025年经营活动现金流量净额1.19亿元，2026年1-6月为2.37亿元，经营获现能力稳步提升。非受限货币资金对短债覆盖方面，2026年6月末货币资金8.35亿元，扣除受限部分后可对短期债务形成较好覆盖。授信方面，截至2025年3月末公司在各家金融机构获得授信总额17.00亿元，尚未使用额度13.70亿元，备用流动性充足。或有事项方面，截至2025年3月末受限资产合计1.70亿元，占当期末总资产的2.47%，主要为保函保证金及抵押受限的固定资产；同期末公司无对外担保及重大未决诉讼。整体来看，公司债务期限结构合理，经营获现与备用流动性对偿债形成支撑，偿债能力较强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公司在建项目以苏南硕放改扩建工程为主，资本支出规模较大但资金安排有序，需关注后续投资节奏与资金到位情况。</w:t>
      </w:r>
      <w:r>
        <w:rPr>
          <w:rFonts w:ascii="楷体_GB2312" w:hAnsi="楷体_GB2312" w:eastAsia="楷体_GB2312"/>
          <w:b w:val="0"/>
          <w:sz w:val="21"/>
        </w:rPr>
        <w:t>截至2025年3月末，公司主要在建项目为苏南硕放改扩建工程和D地块房地产开发项目，总投资分别为34.38亿元和13.14亿元，已投资分别为22.07亿元和5.66亿元，2025年4-12月计划投资5.00亿元，资金来源为43%资本金、57%企业自筹。苏南硕放改扩建工程预计2026年建成投用，货邮保障能力将显著提升至50万吨/年；D地块房地产开发项目中酒店、综合办公楼已建成投用，2025年暂无持续开发计划。此外，公司自2023年起先后申请到0.50亿元政府专项债和6.88亿元超长期国债，截至2025年3月末已用额度4.65亿元；2024年收到民航发展基金补贴、基建项目贴息、省级航空机场发展专项补贴和税费返还合计6,220.29万元。整体来看，项目建设资金支出存在一定需求但压力较小，需持续关注工程进度与外部资金到位情况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_GB2312" w:hAnsi="楷体_GB2312" w:eastAsia="楷体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