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Sales Report Q1 2026</w:t>
      </w:r>
    </w:p>
    <w:p>
      <w:r>
        <w:t>This document contains a complex chart for testing WASM chart rendering.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Month</w:t>
            </w:r>
          </w:p>
        </w:tc>
        <w:tc>
          <w:tcPr>
            <w:tcW w:type="dxa" w:w="2160"/>
          </w:tcPr>
          <w:p>
            <w:r>
              <w:t>Revenue</w:t>
            </w:r>
          </w:p>
        </w:tc>
        <w:tc>
          <w:tcPr>
            <w:tcW w:type="dxa" w:w="2160"/>
          </w:tcPr>
          <w:p>
            <w:r>
              <w:t>Costs</w:t>
            </w:r>
          </w:p>
        </w:tc>
        <w:tc>
          <w:tcPr>
            <w:tcW w:type="dxa" w:w="2160"/>
          </w:tcPr>
          <w:p>
            <w:r>
              <w:t>Profit</w:t>
            </w:r>
          </w:p>
        </w:tc>
      </w:tr>
      <w:tr>
        <w:tc>
          <w:tcPr>
            <w:tcW w:type="dxa" w:w="2160"/>
          </w:tcPr>
          <w:p>
            <w:r>
              <w:t>January</w:t>
            </w:r>
          </w:p>
        </w:tc>
        <w:tc>
          <w:tcPr>
            <w:tcW w:type="dxa" w:w="2160"/>
          </w:tcPr>
          <w:p>
            <w:r>
              <w:t>150,000</w:t>
            </w:r>
          </w:p>
        </w:tc>
        <w:tc>
          <w:tcPr>
            <w:tcW w:type="dxa" w:w="2160"/>
          </w:tcPr>
          <w:p>
            <w:r>
              <w:t>95,000</w:t>
            </w:r>
          </w:p>
        </w:tc>
        <w:tc>
          <w:tcPr>
            <w:tcW w:type="dxa" w:w="2160"/>
          </w:tcPr>
          <w:p>
            <w:r>
              <w:t>55,000</w:t>
            </w:r>
          </w:p>
        </w:tc>
      </w:tr>
      <w:tr>
        <w:tc>
          <w:tcPr>
            <w:tcW w:type="dxa" w:w="2160"/>
          </w:tcPr>
          <w:p>
            <w:r>
              <w:t>February</w:t>
            </w:r>
          </w:p>
        </w:tc>
        <w:tc>
          <w:tcPr>
            <w:tcW w:type="dxa" w:w="2160"/>
          </w:tcPr>
          <w:p>
            <w:r>
              <w:t>175,000</w:t>
            </w:r>
          </w:p>
        </w:tc>
        <w:tc>
          <w:tcPr>
            <w:tcW w:type="dxa" w:w="2160"/>
          </w:tcPr>
          <w:p>
            <w:r>
              <w:t>100,000</w:t>
            </w:r>
          </w:p>
        </w:tc>
        <w:tc>
          <w:tcPr>
            <w:tcW w:type="dxa" w:w="2160"/>
          </w:tcPr>
          <w:p>
            <w:r>
              <w:t>75,000</w:t>
            </w:r>
          </w:p>
        </w:tc>
      </w:tr>
      <w:tr>
        <w:tc>
          <w:tcPr>
            <w:tcW w:type="dxa" w:w="2160"/>
          </w:tcPr>
          <w:p>
            <w:r>
              <w:t>March</w:t>
            </w:r>
          </w:p>
        </w:tc>
        <w:tc>
          <w:tcPr>
            <w:tcW w:type="dxa" w:w="2160"/>
          </w:tcPr>
          <w:p>
            <w:r>
              <w:t>200,000</w:t>
            </w:r>
          </w:p>
        </w:tc>
        <w:tc>
          <w:tcPr>
            <w:tcW w:type="dxa" w:w="2160"/>
          </w:tcPr>
          <w:p>
            <w:r>
              <w:t>110,000</w:t>
            </w:r>
          </w:p>
        </w:tc>
        <w:tc>
          <w:tcPr>
            <w:tcW w:type="dxa" w:w="2160"/>
          </w:tcPr>
          <w:p>
            <w:r>
              <w:t>90,000</w:t>
            </w:r>
          </w:p>
        </w:tc>
      </w:tr>
      <w:tr>
        <w:tc>
          <w:tcPr>
            <w:tcW w:type="dxa" w:w="2160"/>
          </w:tcPr>
          <w:p>
            <w:r>
              <w:t>April</w:t>
            </w:r>
          </w:p>
        </w:tc>
        <w:tc>
          <w:tcPr>
            <w:tcW w:type="dxa" w:w="2160"/>
          </w:tcPr>
          <w:p>
            <w:r>
              <w:t>225,000</w:t>
            </w:r>
          </w:p>
        </w:tc>
        <w:tc>
          <w:tcPr>
            <w:tcW w:type="dxa" w:w="2160"/>
          </w:tcPr>
          <w:p>
            <w:r>
              <w:t>120,000</w:t>
            </w:r>
          </w:p>
        </w:tc>
        <w:tc>
          <w:tcPr>
            <w:tcW w:type="dxa" w:w="2160"/>
          </w:tcPr>
          <w:p>
            <w:r>
              <w:t>105,000</w:t>
            </w:r>
          </w:p>
        </w:tc>
      </w:tr>
    </w:tbl>
    <w:p/>
    <w:p>
      <w:r>
        <w:t>The chart below visualizes the quarterly data:</w:t>
      </w:r>
    </w:p>
    <w:p/>
    <w:p>
      <w:r>
        <w:t>[Chart should appear here when rendered by LibreOffice]</w:t>
      </w:r>
    </w:p>
    <w:p/>
    <w:p>
      <w:pPr>
        <w:pStyle w:val="Heading2"/>
      </w:pPr>
      <w:r>
        <w:t>Notes</w:t>
      </w:r>
    </w:p>
    <w:p>
      <w:r>
        <w:t>This test verifies that the WASM build can render documents with embedded charts and complex formatting.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