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4CE1A">
      <w:pPr>
        <w:rPr>
          <w:rFonts w:hint="eastAsia"/>
        </w:rPr>
      </w:pPr>
    </w:p>
    <w:p w14:paraId="6A22630F">
      <w:pPr>
        <w:jc w:val="center"/>
        <w:rPr>
          <w:rFonts w:hint="eastAsia" w:ascii="宋体"/>
          <w:b/>
          <w:sz w:val="44"/>
        </w:rPr>
      </w:pPr>
    </w:p>
    <w:p w14:paraId="62B692C5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564E1CA5">
      <w:pPr>
        <w:rPr>
          <w:rFonts w:hint="eastAsia"/>
          <w:b/>
          <w:sz w:val="28"/>
        </w:rPr>
      </w:pPr>
    </w:p>
    <w:p w14:paraId="03466129">
      <w:pPr>
        <w:rPr>
          <w:rFonts w:hint="eastAsia"/>
          <w:b/>
          <w:sz w:val="28"/>
        </w:rPr>
      </w:pPr>
    </w:p>
    <w:p w14:paraId="641B8C6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 xml:space="preserve">                深度学习基础                </w:t>
      </w:r>
    </w:p>
    <w:p w14:paraId="5A046BFE">
      <w:pPr>
        <w:rPr>
          <w:rFonts w:hint="eastAsia"/>
          <w:b/>
          <w:sz w:val="28"/>
        </w:rPr>
      </w:pPr>
    </w:p>
    <w:p w14:paraId="4B0849A1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      何堂犇                        </w:t>
      </w:r>
    </w:p>
    <w:p w14:paraId="30EE18A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D823816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      电子与信息工程                                    </w:t>
      </w:r>
    </w:p>
    <w:p w14:paraId="0E5AF8B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1948B0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      电子信息工程                                  </w:t>
      </w:r>
      <w:r>
        <w:rPr>
          <w:rFonts w:hint="eastAsia"/>
          <w:b/>
          <w:sz w:val="28"/>
        </w:rPr>
        <w:t xml:space="preserve">  </w:t>
      </w:r>
    </w:p>
    <w:p w14:paraId="1662A5B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704E4E6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贾红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</w:t>
      </w:r>
    </w:p>
    <w:p w14:paraId="515C126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6B576E7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何堂犇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：2023111096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02           </w:t>
      </w:r>
      <w:r>
        <w:rPr>
          <w:rFonts w:hint="eastAsia"/>
          <w:b/>
          <w:sz w:val="28"/>
        </w:rPr>
        <w:t xml:space="preserve"> </w:t>
      </w:r>
    </w:p>
    <w:p w14:paraId="6838C59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1B5E44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      2026/4/09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06D55990">
      <w:pPr>
        <w:rPr>
          <w:rFonts w:hint="eastAsia"/>
          <w:b/>
          <w:sz w:val="28"/>
        </w:rPr>
      </w:pPr>
    </w:p>
    <w:p w14:paraId="2479743B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2026/4/12                        </w:t>
      </w:r>
    </w:p>
    <w:p w14:paraId="3B0AF7FC">
      <w:pPr>
        <w:jc w:val="center"/>
        <w:rPr>
          <w:rFonts w:hint="eastAsia"/>
          <w:b/>
          <w:sz w:val="44"/>
        </w:rPr>
      </w:pPr>
    </w:p>
    <w:p w14:paraId="6B7AAC58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3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474C2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928" w:hRule="atLeast"/>
        </w:trPr>
        <w:tc>
          <w:tcPr>
            <w:tcW w:w="8220" w:type="dxa"/>
            <w:vAlign w:val="top"/>
          </w:tcPr>
          <w:p w14:paraId="489A750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实验目的与要求：</w:t>
            </w:r>
          </w:p>
          <w:p w14:paraId="7AFFAD8B">
            <w:pPr>
              <w:numPr>
                <w:ilvl w:val="0"/>
                <w:numId w:val="1"/>
              </w:numPr>
              <w:ind w:left="255" w:leftChars="0" w:hanging="255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了解神经网络模型的基础知识；</w:t>
            </w:r>
          </w:p>
          <w:p w14:paraId="77823415">
            <w:pPr>
              <w:numPr>
                <w:ilvl w:val="0"/>
                <w:numId w:val="1"/>
              </w:numPr>
              <w:ind w:left="255" w:leftChars="0" w:hanging="255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练习基于PyTorch的数据处理方法，熟悉如何通过PyTorch构建神经网络模型来分析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实际问题；</w:t>
            </w:r>
          </w:p>
          <w:p w14:paraId="1C23BA7A">
            <w:pPr>
              <w:numPr>
                <w:ilvl w:val="0"/>
                <w:numId w:val="1"/>
              </w:numPr>
              <w:ind w:left="255" w:leftChars="0" w:hanging="255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练习神经网络模型的训练和优化方法，探讨模型的改进策略。</w:t>
            </w:r>
          </w:p>
          <w:p w14:paraId="070519BA">
            <w:pPr>
              <w:rPr>
                <w:rFonts w:hint="eastAsia"/>
                <w:sz w:val="24"/>
              </w:rPr>
            </w:pPr>
          </w:p>
        </w:tc>
      </w:tr>
      <w:tr w14:paraId="3CE3F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vAlign w:val="top"/>
          </w:tcPr>
          <w:p w14:paraId="41311C03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实验内容：</w:t>
            </w:r>
          </w:p>
          <w:p w14:paraId="78F77BD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1.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回归分析：房价预测</w:t>
            </w:r>
          </w:p>
          <w:p w14:paraId="37D1C27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（1）数据基本特征分析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本实验采用Kaggle“房价预测”竞赛数据集，包含训练集“house_train.csv”和测试集“house_test.csv”。首先正确读取数据，并对训练集进行基本特征分析：统计样本总数、特征维度（包括数值型与类别型特征）、标签信息（房价SalePrice），以及各特征的数据类型和缺失值情况。通过该步骤明确了数据的整体结构，为后续预处理提供依据。</w:t>
            </w:r>
          </w:p>
          <w:p w14:paraId="6AFE21A9">
            <w:pPr>
              <w:bidi w:val="0"/>
              <w:rPr>
                <w:rFonts w:hint="default"/>
              </w:rPr>
            </w:pPr>
          </w:p>
          <w:p w14:paraId="17706E96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default"/>
              </w:rPr>
              <w:t>（2）数据预处理与基础神经网络模型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针对数据中的缺失值、类别特征和数值特征分布偏斜等问题，实施以下预处理</w:t>
            </w:r>
            <w:r>
              <w:rPr>
                <w:rFonts w:hint="eastAsia"/>
                <w:lang w:eastAsia="zh-CN"/>
              </w:rPr>
              <w:t>：</w:t>
            </w:r>
          </w:p>
          <w:p w14:paraId="5E04F344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缺失值处理：对数值型特征填充中位数或均值，对类别型特征填充众数或指定缺失标记。</w:t>
            </w:r>
          </w:p>
          <w:p w14:paraId="1C6A94B8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类别特征编码：采用独热编码或标签编码，转化为数值形式。</w:t>
            </w:r>
          </w:p>
          <w:p w14:paraId="527CB51B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数值特征缩放：使用标准化或对数变换（尤其对标签SalePrice取对数）以改善网络训练稳定性。</w:t>
            </w:r>
          </w:p>
          <w:p w14:paraId="087CAD9B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划分数据集：从训练集中拆分出验证集（如80%训练，20%验证），用于监控模型训练过程。</w:t>
            </w:r>
          </w:p>
          <w:p w14:paraId="526BA54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设计并实现一个多层前馈神经网络（例如包含2~3个隐藏层，每层若干神经元，激活函数ReLU，输出层线性激活）。设置简单参数（如固定学习率0.001，批量大小32，迭代次数若干轮）。模型训练后计算训练误差（如均方根误差RMSE）和验证误差，并绘制训练误差与验证误差随迭代次数变化的曲线，观察模型收敛情况及是否存在过拟合。</w:t>
            </w:r>
          </w:p>
          <w:p w14:paraId="2E25C341">
            <w:pPr>
              <w:bidi w:val="0"/>
              <w:rPr>
                <w:rFonts w:hint="default"/>
              </w:rPr>
            </w:pPr>
          </w:p>
          <w:p w14:paraId="742875F5">
            <w:pPr>
              <w:numPr>
                <w:ilvl w:val="0"/>
                <w:numId w:val="3"/>
              </w:numPr>
              <w:bidi w:val="0"/>
            </w:pPr>
            <w:r>
              <w:rPr>
                <w:rFonts w:hint="default"/>
              </w:rPr>
              <w:t>基于K折交叉验证的参数优化与改进策略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为提升模型泛化性能，采用K折交叉验证（如5折）对神经网络进行参数优化。尝试的改进策略包括：</w:t>
            </w:r>
          </w:p>
          <w:p w14:paraId="434DA457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数据优化：进一步处理异常值、特征工程（如构造组合特征、删除高缺失率特征）。</w:t>
            </w:r>
          </w:p>
          <w:p w14:paraId="747EA1B9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网络结构调整：改变隐藏层数、每层神经元数量、添加批量归一化层。</w:t>
            </w:r>
          </w:p>
          <w:p w14:paraId="61A0B57C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学习率调整：使用学习率衰减或自适应学习率方法（如Adam优化器及其超参数调整）。</w:t>
            </w:r>
          </w:p>
          <w:p w14:paraId="04830E56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损失函数：采用均方误差或平均绝对误差，并对标签进行对数变换后还原。</w:t>
            </w:r>
          </w:p>
          <w:p w14:paraId="3BC254B9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防止过拟合：引入L2正则化、Dropout层、早停策略。</w:t>
            </w:r>
          </w:p>
          <w:p w14:paraId="1015FE2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记录每种调整策略在交叉验证下的平均验证误差，对比分析效果。最终确定最优模型结构及超参数，并在测试集上评估其预测性能（如RMSE或R²分数），得到最终测试结果。</w:t>
            </w:r>
          </w:p>
          <w:p w14:paraId="3EDA62B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  <w:p w14:paraId="4136927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  <w:p w14:paraId="64814518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2. 图像分类：手写体邮政编码的识别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ab/>
            </w:r>
          </w:p>
          <w:p w14:paraId="67E4DAC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（1）数据读取、可视化与预处理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本实验采用MNIST手写数字数据集，该数据集包含70000张28×28像素的灰度图像，其中训练集60000张，测试集10000张，共10个类别（数字0-9）。首先正确读取数据（可使用PyTorch内置数据集或按二进制格式解析），并随机选取部分样本进行可视化展示，观察图像特征与对应标签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对数据进行必要预处理：将像素值归一化至[0,1]或[-1,1]区间（如采用ToTensor()和Normalize()），加快模型收敛；可选将图像展平为一维向量或保留二维结构用于全连接网络。此外，检查类别平衡性，确认各数字样本分布基本均匀。</w:t>
            </w:r>
          </w:p>
          <w:p w14:paraId="277E340C">
            <w:pPr>
              <w:bidi w:val="0"/>
              <w:rPr>
                <w:rFonts w:hint="default"/>
              </w:rPr>
            </w:pPr>
          </w:p>
          <w:p w14:paraId="7090B0C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（2）多层前馈神经网络构建与性能评估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定义网络结构：输入层为28×28=784维，隐藏层若干（如2-3层，每层128-256个神经元），输出层为10维（对应10个数字类别）。激活函数采用ReLU（隐藏层）和Softmax（输出层）。损失函数选用交叉熵损失，优化器可选用Adam或SGD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划分数据集：从训练集中分出验证集（如80%训练，20%验证）用于监控训练过程。训练模型并记录训练损失与验证损失、验证集准确率。采用多种评估指标分析分类性能，包括：准确率、精确率、召回率、F1分数（可分别计算每个类别或宏平均）。绘制训练/验证损失曲线和准确率曲线，观察模型收敛与过拟合情况。</w:t>
            </w:r>
          </w:p>
          <w:p w14:paraId="5B6BD4DB">
            <w:pPr>
              <w:bidi w:val="0"/>
            </w:pPr>
            <w:r>
              <w:rPr>
                <w:rFonts w:hint="default"/>
              </w:rPr>
              <w:t>（3）基于K折交叉验证的参数优化与改进策略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为提升泛化能力，采用K折交叉验证（如5折）进行参数优化。尝试的改进策略包括：</w:t>
            </w:r>
          </w:p>
          <w:p w14:paraId="39875520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网络结构调整：改变隐藏层数、每层神经元数量，加入批量归一化层。</w:t>
            </w:r>
          </w:p>
          <w:p w14:paraId="3773D6AF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激活函数尝试：ReLU、Leaky ReLU、ELU等。</w:t>
            </w:r>
          </w:p>
          <w:p w14:paraId="427CFA97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优化器与学习率：比较Adam、SGD with momentum；调整初始学习率或使用学习率衰减。</w:t>
            </w:r>
          </w:p>
          <w:p w14:paraId="3C934405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正则化与防过拟合：引入Dropout层（如0.2-0.5）、L2权重衰减、早停法。</w:t>
            </w:r>
          </w:p>
          <w:p w14:paraId="1702E264">
            <w:pPr>
              <w:numPr>
                <w:ilvl w:val="0"/>
                <w:numId w:val="2"/>
              </w:numPr>
              <w:bidi w:val="0"/>
              <w:ind w:left="630" w:leftChars="0" w:hanging="420" w:firstLineChars="0"/>
            </w:pPr>
            <w:r>
              <w:rPr>
                <w:rFonts w:hint="default"/>
              </w:rPr>
              <w:t>数据增强：对图像进行轻微平移、旋转或添加噪声，提升鲁棒性。</w:t>
            </w:r>
          </w:p>
          <w:p w14:paraId="5CEE3E5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记录每种策略在交叉验证下的平均准确率及标准差。最终确定最优模型结构及超参数，在测试集上评估其性能，给出测试准确率、精确率、召回率、F1分数及混淆矩阵，验证模型在手写数字识别任务中的有效性。</w:t>
            </w:r>
          </w:p>
          <w:p w14:paraId="086EFB52">
            <w:pPr>
              <w:rPr>
                <w:rFonts w:hint="eastAsia"/>
                <w:sz w:val="28"/>
                <w:szCs w:val="28"/>
              </w:rPr>
            </w:pPr>
          </w:p>
        </w:tc>
      </w:tr>
      <w:tr w14:paraId="53C49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0" w:hRule="atLeast"/>
        </w:trPr>
        <w:tc>
          <w:tcPr>
            <w:tcW w:w="8220" w:type="dxa"/>
            <w:vAlign w:val="top"/>
          </w:tcPr>
          <w:p w14:paraId="38F6368D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实验代码及结果：</w:t>
            </w:r>
          </w:p>
          <w:p w14:paraId="542115C6">
            <w:pP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房价预测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eastAsia="zh-CN"/>
              </w:rPr>
              <w:t>：</w:t>
            </w:r>
          </w:p>
          <w:p w14:paraId="6A58D2B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缺失值分析部分：</w:t>
            </w:r>
          </w:p>
          <w:p w14:paraId="174864ED">
            <w:pPr>
              <w:rPr>
                <w:rFonts w:hint="default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26" o:spt="75" alt="" type="#_x0000_t75" style="height:282.15pt;width:207.1pt;" filled="f" o:preferrelative="t" stroked="f" coordsize="21600,21600">
                  <v:path/>
                  <v:fill on="f" focussize="0,0"/>
                  <v:stroke on="f"/>
                  <v:imagedata r:id="rId4" o:title=""/>
                  <o:lock v:ext="edit" aspectratio="t"/>
                  <w10:wrap type="none"/>
                  <w10:anchorlock/>
                </v:shape>
              </w:pict>
            </w:r>
          </w:p>
          <w:p w14:paraId="045FC05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缺失值处理以及类别特征编码：</w:t>
            </w:r>
          </w:p>
          <w:p w14:paraId="1FA3767D">
            <w:pPr>
              <w:rPr>
                <w:rFonts w:hint="default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27" o:spt="75" alt="" type="#_x0000_t75" style="height:222.25pt;width:327.65pt;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</w:pict>
            </w:r>
          </w:p>
          <w:p w14:paraId="056A77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类别编码特征：</w:t>
            </w:r>
          </w:p>
          <w:p w14:paraId="343ADD1C">
            <w:pPr>
              <w:bidi w:val="0"/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28" o:spt="75" type="#_x0000_t75" style="height:33.6pt;width:400.05pt;" filled="f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统一维度和划分数据集：</w:t>
            </w:r>
          </w:p>
          <w:p w14:paraId="016AA7BF">
            <w:pPr>
              <w:rPr>
                <w:rFonts w:hint="default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29" o:spt="75" alt="" type="#_x0000_t75" style="height:185.9pt;width:289.8pt;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</w:pict>
            </w:r>
          </w:p>
          <w:p w14:paraId="62F8A6D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神经网络搭建和前向传播搭建：</w:t>
            </w:r>
          </w:p>
          <w:p w14:paraId="4849B8DD">
            <w:pPr>
              <w:rPr>
                <w:rFonts w:hint="default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30" o:spt="75" type="#_x0000_t75" style="height:172.7pt;width:400.15pt;" filled="f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</w:pict>
            </w:r>
          </w:p>
          <w:p w14:paraId="617C36A1">
            <w:pPr>
              <w:bidi w:val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参数设置：</w:t>
            </w:r>
          </w:p>
          <w:p w14:paraId="7449EB69">
            <w:pPr>
              <w:rPr>
                <w:rFonts w:hint="default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31" o:spt="75" alt="" type="#_x0000_t75" style="height:146.05pt;width:281.3pt;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</w:pict>
            </w:r>
          </w:p>
          <w:p w14:paraId="444ABE10">
            <w:pPr>
              <w:bidi w:val="0"/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最终拟合效果：</w:t>
            </w:r>
          </w:p>
          <w:p w14:paraId="0C9F8465">
            <w:pPr>
              <w:rPr>
                <w:rFonts w:hint="default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32" o:spt="75" alt="" type="#_x0000_t75" style="height:235pt;width:276.3pt;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</w:pict>
            </w:r>
          </w:p>
          <w:p w14:paraId="34A8DC2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K折交叉验证法：</w:t>
            </w:r>
          </w:p>
          <w:p w14:paraId="114E2C75">
            <w:pPr>
              <w:rPr>
                <w:rFonts w:hint="default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33" o:spt="75" alt="" type="#_x0000_t75" style="height:232.1pt;width:328.3pt;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</w:pict>
            </w:r>
          </w:p>
          <w:p w14:paraId="147C6D2E">
            <w:pP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pict>
                <v:shape id="_x0000_i1034" o:spt="75" type="#_x0000_t75" style="height:33.55pt;width:399.9pt;" filled="f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</w:pict>
            </w:r>
          </w:p>
          <w:p w14:paraId="2AE1B7AB">
            <w:pP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</w:p>
          <w:p w14:paraId="1B0D577A">
            <w:pP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</w:p>
          <w:p w14:paraId="4B020037">
            <w:pP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</w:p>
          <w:p w14:paraId="2F0DB89A">
            <w:pP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手写体邮政编码的识别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eastAsia="zh-CN"/>
              </w:rPr>
              <w:t>：</w:t>
            </w:r>
          </w:p>
          <w:p w14:paraId="6AB9083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数据集加载</w:t>
            </w:r>
          </w:p>
          <w:p w14:paraId="63EC8A91">
            <w:pP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39" o:spt="75" type="#_x0000_t75" style="height:192.2pt;width:399.7pt;" filled="f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</w:pict>
            </w:r>
          </w:p>
          <w:p w14:paraId="531FB09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神经网络搭建：</w:t>
            </w:r>
          </w:p>
          <w:p w14:paraId="728DFF15">
            <w:r>
              <w:pict>
                <v:shape id="_x0000_i1038" o:spt="75" alt="" type="#_x0000_t75" style="height:189pt;width:344.7pt;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</w:pict>
            </w:r>
          </w:p>
          <w:p w14:paraId="2D91DF8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K折交叉验证：</w:t>
            </w:r>
          </w:p>
          <w:p w14:paraId="209BC94E">
            <w:r>
              <w:pict>
                <v:shape id="_x0000_i1040" o:spt="75" alt="" type="#_x0000_t75" style="height:269.65pt;width:294.2pt;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</w:pict>
            </w:r>
          </w:p>
          <w:p w14:paraId="2A86CB5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最终结果：</w:t>
            </w:r>
          </w:p>
          <w:p w14:paraId="09362B06">
            <w:pPr>
              <w:rPr>
                <w:rFonts w:hint="default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pict>
                <v:shape id="_x0000_i1042" o:spt="75" type="#_x0000_t75" style="height:121.25pt;width:296.05pt;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</w:pict>
            </w:r>
          </w:p>
          <w:p w14:paraId="67E946E6">
            <w:pP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</w:p>
          <w:p w14:paraId="23AA6D9F">
            <w:pP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</w:p>
          <w:p w14:paraId="02C16BC4">
            <w:pP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</w:p>
          <w:p w14:paraId="32CECEA5">
            <w:pPr>
              <w:rPr>
                <w:rFonts w:hint="default"/>
                <w:lang w:val="en-US" w:eastAsia="zh-CN"/>
              </w:rPr>
            </w:pPr>
          </w:p>
        </w:tc>
      </w:tr>
    </w:tbl>
    <w:p w14:paraId="16F41A6B">
      <w:pPr>
        <w:rPr>
          <w:rFonts w:hint="eastAsia"/>
        </w:rPr>
      </w:pPr>
    </w:p>
    <w:p w14:paraId="0B51EA9E">
      <w:pPr>
        <w:rPr>
          <w:rFonts w:hint="eastAsia"/>
        </w:rPr>
      </w:pPr>
    </w:p>
    <w:p w14:paraId="592A01C3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7AF27591">
      <w:pPr>
        <w:rPr>
          <w:rFonts w:hint="eastAsia"/>
        </w:rPr>
      </w:pPr>
    </w:p>
    <w:tbl>
      <w:tblPr>
        <w:tblStyle w:val="3"/>
        <w:tblW w:w="0" w:type="auto"/>
        <w:tblInd w:w="1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3E951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vAlign w:val="top"/>
          </w:tcPr>
          <w:p w14:paraId="2EB142F3">
            <w:pPr>
              <w:rPr>
                <w:rFonts w:hint="eastAsia"/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实验分析与结论：</w:t>
            </w:r>
          </w:p>
          <w:p w14:paraId="7D5480AA">
            <w:pP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房价预测：</w:t>
            </w:r>
          </w:p>
          <w:p w14:paraId="7CC70A47">
            <w:pP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pict>
                <v:shape id="_x0000_i1035" o:spt="75" type="#_x0000_t75" style="height:33.55pt;width:399.9pt;" filled="f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</w:pict>
            </w:r>
          </w:p>
          <w:p w14:paraId="3642C387">
            <w:pPr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如上图，是使用</w:t>
            </w:r>
            <w:r>
              <w:rPr>
                <w:rFonts w:hint="eastAsia"/>
                <w:b/>
                <w:bCs/>
                <w:sz w:val="20"/>
                <w:szCs w:val="22"/>
                <w:lang w:val="en-US" w:eastAsia="zh-CN"/>
              </w:rPr>
              <w:t>K折交叉法</w:t>
            </w:r>
            <w:r>
              <w:rPr>
                <w:rFonts w:hint="eastAsia"/>
                <w:sz w:val="20"/>
                <w:szCs w:val="22"/>
                <w:lang w:val="en-US" w:eastAsia="zh-CN"/>
              </w:rPr>
              <w:t>，验证了不同参数下的训练RMSE和验证RMSE，可以发现，第一名对比baseline组是把Dropout的值</w:t>
            </w:r>
            <w:r>
              <w:rPr>
                <w:rFonts w:hint="eastAsia"/>
                <w:sz w:val="20"/>
                <w:szCs w:val="22"/>
                <w:lang w:val="en-US" w:eastAsia="zh-CN"/>
              </w:rPr>
              <w:t>降低</w:t>
            </w:r>
            <w:r>
              <w:rPr>
                <w:rFonts w:hint="eastAsia"/>
                <w:sz w:val="20"/>
                <w:szCs w:val="22"/>
                <w:lang w:val="en-US" w:eastAsia="zh-CN"/>
              </w:rPr>
              <w:t>一半以及把 weight_decay（权重衰减）从 1e-4 降到了 5e-5，但是效果更好，说明了少数据集的情况下，适当放宽训练要求可以起到更好的效果。</w:t>
            </w:r>
          </w:p>
          <w:p w14:paraId="7B2BACFC">
            <w:pPr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根据上述猜测和结论，增加一组过拟合组和最优参数组验证一下：</w:t>
            </w:r>
          </w:p>
          <w:p w14:paraId="67D865B9">
            <w:pPr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pict>
                <v:shape id="_x0000_i1037" o:spt="75" alt="" type="#_x0000_t75" style="height:191pt;width:374.85pt;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</w:pict>
            </w:r>
          </w:p>
          <w:p w14:paraId="11D87468">
            <w:pPr>
              <w:rPr>
                <w:rFonts w:hint="default"/>
                <w:sz w:val="20"/>
                <w:szCs w:val="22"/>
                <w:lang w:val="en-US" w:eastAsia="zh-CN"/>
              </w:rPr>
            </w:pPr>
            <w:r>
              <w:pict>
                <v:shape id="_x0000_i1036" o:spt="75" alt="" type="#_x0000_t75" style="height:42.2pt;width:385.25pt;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  <w:sz w:val="20"/>
                <w:szCs w:val="22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20"/>
                <w:szCs w:val="22"/>
                <w:lang w:val="en-US" w:eastAsia="zh-CN"/>
              </w:rPr>
              <w:t>总结</w:t>
            </w:r>
            <w:r>
              <w:rPr>
                <w:rFonts w:hint="eastAsia"/>
                <w:sz w:val="20"/>
                <w:szCs w:val="22"/>
                <w:lang w:val="en-US" w:eastAsia="zh-CN"/>
              </w:rPr>
              <w:t>：对于</w:t>
            </w:r>
            <w:r>
              <w:rPr>
                <w:rFonts w:hint="default"/>
                <w:sz w:val="20"/>
                <w:szCs w:val="22"/>
                <w:lang w:val="en-US" w:eastAsia="zh-CN"/>
              </w:rPr>
              <w:t>”</w:t>
            </w:r>
            <w:r>
              <w:rPr>
                <w:rFonts w:hint="eastAsia"/>
                <w:sz w:val="20"/>
                <w:szCs w:val="22"/>
                <w:lang w:val="en-US" w:eastAsia="zh-CN"/>
              </w:rPr>
              <w:t>小模型 + 少数据</w:t>
            </w:r>
            <w:r>
              <w:rPr>
                <w:rFonts w:hint="default"/>
                <w:sz w:val="20"/>
                <w:szCs w:val="22"/>
                <w:lang w:val="en-US" w:eastAsia="zh-CN"/>
              </w:rPr>
              <w:t>”</w:t>
            </w:r>
            <w:r>
              <w:rPr>
                <w:rFonts w:hint="eastAsia"/>
                <w:sz w:val="20"/>
                <w:szCs w:val="22"/>
                <w:lang w:val="en-US" w:eastAsia="zh-CN"/>
              </w:rPr>
              <w:t>，应当减小网络整体复杂度:减小神经元个数和dropout比例，可以获得更加好的拟合效果！第四组根据训练集RMSE可以发现明显过拟合了。</w:t>
            </w:r>
          </w:p>
          <w:p w14:paraId="2919DAAB">
            <w:pPr>
              <w:rPr>
                <w:rFonts w:hint="eastAsia"/>
              </w:rPr>
            </w:pPr>
          </w:p>
          <w:p w14:paraId="0E6440AE">
            <w:pPr>
              <w:rPr>
                <w:rFonts w:hint="eastAsia"/>
              </w:rPr>
            </w:pPr>
          </w:p>
          <w:p w14:paraId="33979167">
            <w:pP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手写体邮政编码的识别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eastAsia="zh-CN"/>
              </w:rPr>
              <w:t>：</w:t>
            </w:r>
          </w:p>
          <w:p w14:paraId="303C688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最终结果的分析图：</w:t>
            </w:r>
          </w:p>
          <w:p w14:paraId="2B600E76">
            <w:pPr>
              <w:bidi w:val="0"/>
              <w:rPr>
                <w:rFonts w:hint="default"/>
                <w:lang w:val="en-US" w:eastAsia="zh-CN"/>
              </w:rPr>
            </w:pPr>
            <w:r>
              <w:pict>
                <v:shape id="_x0000_i1047" o:spt="75" type="#_x0000_t75" style="height:98.75pt;width:397.05pt;" filled="f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</w:pict>
            </w:r>
            <w:bookmarkStart w:id="0" w:name="_GoBack"/>
            <w:bookmarkEnd w:id="0"/>
          </w:p>
          <w:p w14:paraId="2E9DA54E">
            <w:pPr>
              <w:rPr>
                <w:rFonts w:hint="eastAsia"/>
              </w:rPr>
            </w:pPr>
            <w:r>
              <w:pict>
                <v:shape id="_x0000_i1043" o:spt="75" type="#_x0000_t75" style="height:137.25pt;width:396.9pt;" filled="f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</w:pict>
            </w:r>
          </w:p>
          <w:p w14:paraId="5284325B">
            <w:pPr>
              <w:rPr>
                <w:rFonts w:hint="eastAsia"/>
              </w:rPr>
            </w:pPr>
            <w:r>
              <w:pict>
                <v:shape id="_x0000_i1044" o:spt="75" type="#_x0000_t75" style="height:78.8pt;width:397.1pt;" filled="f" stroked="f" coordsize="21600,21600">
                  <v:path/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</w:pict>
            </w:r>
          </w:p>
          <w:p w14:paraId="74292ECB">
            <w:pPr>
              <w:rPr>
                <w:rFonts w:hint="eastAsia"/>
              </w:rPr>
            </w:pPr>
          </w:p>
          <w:p w14:paraId="060D4257">
            <w:pPr>
              <w:rPr>
                <w:rFonts w:hint="eastAsia"/>
              </w:rPr>
            </w:pPr>
          </w:p>
          <w:p w14:paraId="7B92C6CF">
            <w:pPr>
              <w:rPr>
                <w:rFonts w:hint="eastAsia"/>
              </w:rPr>
            </w:pPr>
          </w:p>
          <w:p w14:paraId="4DDC8D9D"/>
          <w:p w14:paraId="16C1C630">
            <w:pPr>
              <w:rPr>
                <w:rFonts w:hint="eastAsia"/>
              </w:rPr>
            </w:pPr>
          </w:p>
          <w:p w14:paraId="2E895F8B">
            <w:pPr>
              <w:rPr>
                <w:rFonts w:hint="eastAsia"/>
              </w:rPr>
            </w:pPr>
          </w:p>
          <w:p w14:paraId="21B526AE">
            <w:pPr>
              <w:rPr>
                <w:rFonts w:hint="eastAsia"/>
              </w:rPr>
            </w:pPr>
          </w:p>
          <w:p w14:paraId="264C933F">
            <w:pPr>
              <w:rPr>
                <w:rFonts w:hint="eastAsia"/>
              </w:rPr>
            </w:pPr>
          </w:p>
          <w:p w14:paraId="56378E84">
            <w:pPr>
              <w:rPr>
                <w:rFonts w:hint="eastAsia"/>
                <w:b/>
                <w:sz w:val="44"/>
              </w:rPr>
            </w:pPr>
          </w:p>
        </w:tc>
      </w:tr>
      <w:tr w14:paraId="26139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vAlign w:val="top"/>
          </w:tcPr>
          <w:p w14:paraId="52D531C4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45AF2ED4">
            <w:pPr>
              <w:rPr>
                <w:rFonts w:hint="eastAsia"/>
              </w:rPr>
            </w:pPr>
          </w:p>
          <w:p w14:paraId="42B34429">
            <w:pPr>
              <w:rPr>
                <w:rFonts w:hint="eastAsia"/>
              </w:rPr>
            </w:pPr>
          </w:p>
          <w:p w14:paraId="2C7F99C3">
            <w:pPr>
              <w:rPr>
                <w:rFonts w:hint="eastAsia"/>
              </w:rPr>
            </w:pPr>
          </w:p>
          <w:p w14:paraId="3019772F">
            <w:pPr>
              <w:rPr>
                <w:rFonts w:hint="eastAsia"/>
              </w:rPr>
            </w:pPr>
          </w:p>
          <w:p w14:paraId="49E7E417">
            <w:pPr>
              <w:rPr>
                <w:rFonts w:hint="eastAsia"/>
              </w:rPr>
            </w:pPr>
          </w:p>
          <w:p w14:paraId="01A3CD59">
            <w:pPr>
              <w:rPr>
                <w:rFonts w:hint="eastAsia"/>
              </w:rPr>
            </w:pPr>
          </w:p>
          <w:p w14:paraId="2974D9F3">
            <w:pPr>
              <w:rPr>
                <w:rFonts w:hint="eastAsia"/>
              </w:rPr>
            </w:pPr>
          </w:p>
          <w:p w14:paraId="058C2575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3B403EA9">
            <w:pPr>
              <w:rPr>
                <w:rFonts w:hint="eastAsia"/>
              </w:rPr>
            </w:pPr>
          </w:p>
          <w:tbl>
            <w:tblPr>
              <w:tblStyle w:val="3"/>
              <w:tblW w:w="0" w:type="auto"/>
              <w:tblInd w:w="108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9"/>
              <w:gridCol w:w="1508"/>
              <w:gridCol w:w="1654"/>
              <w:gridCol w:w="1424"/>
              <w:gridCol w:w="1751"/>
            </w:tblGrid>
            <w:tr w14:paraId="6CAE9E4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6" w:hRule="atLeast"/>
              </w:trPr>
              <w:tc>
                <w:tcPr>
                  <w:tcW w:w="1489" w:type="dxa"/>
                  <w:vAlign w:val="top"/>
                </w:tcPr>
                <w:p w14:paraId="74DA7BC1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Cs w:val="21"/>
                    </w:rPr>
                    <w:t>实验内容完成情况50分</w:t>
                  </w:r>
                </w:p>
              </w:tc>
              <w:tc>
                <w:tcPr>
                  <w:tcW w:w="1508" w:type="dxa"/>
                  <w:vAlign w:val="top"/>
                </w:tcPr>
                <w:p w14:paraId="4B5F614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Cs w:val="21"/>
                    </w:rPr>
                    <w:t>实验结果与讨论</w:t>
                  </w:r>
                  <w:r>
                    <w:rPr>
                      <w:szCs w:val="21"/>
                    </w:rPr>
                    <w:t>20</w:t>
                  </w:r>
                  <w:r>
                    <w:rPr>
                      <w:rFonts w:hint="eastAsia"/>
                      <w:szCs w:val="21"/>
                    </w:rPr>
                    <w:t>分</w:t>
                  </w:r>
                </w:p>
              </w:tc>
              <w:tc>
                <w:tcPr>
                  <w:tcW w:w="1654" w:type="dxa"/>
                  <w:vAlign w:val="top"/>
                </w:tcPr>
                <w:p w14:paraId="1B24AE1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Cs w:val="21"/>
                    </w:rPr>
                    <w:t>实验报告撰写情况</w:t>
                  </w:r>
                  <w:r>
                    <w:rPr>
                      <w:szCs w:val="21"/>
                    </w:rPr>
                    <w:t>2</w:t>
                  </w:r>
                  <w:r>
                    <w:rPr>
                      <w:rFonts w:hint="eastAsia"/>
                      <w:szCs w:val="21"/>
                    </w:rPr>
                    <w:t>0分</w:t>
                  </w:r>
                </w:p>
              </w:tc>
              <w:tc>
                <w:tcPr>
                  <w:tcW w:w="1424" w:type="dxa"/>
                  <w:vAlign w:val="top"/>
                </w:tcPr>
                <w:p w14:paraId="28D3F420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实验代码可读性1</w:t>
                  </w:r>
                  <w:r>
                    <w:rPr>
                      <w:szCs w:val="21"/>
                    </w:rPr>
                    <w:t>0分</w:t>
                  </w:r>
                </w:p>
              </w:tc>
              <w:tc>
                <w:tcPr>
                  <w:tcW w:w="1751" w:type="dxa"/>
                  <w:vAlign w:val="top"/>
                </w:tcPr>
                <w:p w14:paraId="662BD670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总分100分</w:t>
                  </w:r>
                </w:p>
              </w:tc>
            </w:tr>
            <w:tr w14:paraId="12B93C5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6" w:hRule="atLeast"/>
              </w:trPr>
              <w:tc>
                <w:tcPr>
                  <w:tcW w:w="1489" w:type="dxa"/>
                  <w:vAlign w:val="top"/>
                </w:tcPr>
                <w:p w14:paraId="387CF936">
                  <w:pPr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508" w:type="dxa"/>
                  <w:vAlign w:val="top"/>
                </w:tcPr>
                <w:p w14:paraId="4B66DA7E">
                  <w:pPr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654" w:type="dxa"/>
                  <w:vAlign w:val="top"/>
                </w:tcPr>
                <w:p w14:paraId="1155D173">
                  <w:pPr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424" w:type="dxa"/>
                  <w:vAlign w:val="top"/>
                </w:tcPr>
                <w:p w14:paraId="267238D5">
                  <w:pPr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1751" w:type="dxa"/>
                  <w:vAlign w:val="top"/>
                </w:tcPr>
                <w:p w14:paraId="1CCFBB80">
                  <w:pPr>
                    <w:rPr>
                      <w:rFonts w:hint="eastAsia"/>
                      <w:szCs w:val="21"/>
                    </w:rPr>
                  </w:pPr>
                </w:p>
              </w:tc>
            </w:tr>
          </w:tbl>
          <w:p w14:paraId="5071946C">
            <w:pPr>
              <w:rPr>
                <w:rFonts w:hint="eastAsia"/>
              </w:rPr>
            </w:pPr>
          </w:p>
          <w:p w14:paraId="55377946"/>
          <w:p w14:paraId="08191986"/>
          <w:p w14:paraId="4F069C06"/>
          <w:p w14:paraId="126211AE"/>
          <w:p w14:paraId="686020C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33C144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11EA9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vAlign w:val="top"/>
          </w:tcPr>
          <w:p w14:paraId="29AF607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18AE61E4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3B86CFA3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1CDDF1"/>
    <w:multiLevelType w:val="singleLevel"/>
    <w:tmpl w:val="CB1CDDF1"/>
    <w:lvl w:ilvl="0" w:tentative="0">
      <w:start w:val="1"/>
      <w:numFmt w:val="bullet"/>
      <w:suff w:val="space"/>
      <w:lvlText w:val="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1">
    <w:nsid w:val="EBC21006"/>
    <w:multiLevelType w:val="singleLevel"/>
    <w:tmpl w:val="EBC21006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28AB9AEE"/>
    <w:multiLevelType w:val="singleLevel"/>
    <w:tmpl w:val="28AB9AEE"/>
    <w:lvl w:ilvl="0" w:tentative="0">
      <w:start w:val="1"/>
      <w:numFmt w:val="decimal"/>
      <w:suff w:val="space"/>
      <w:lvlText w:val="%1."/>
      <w:lvlJc w:val="left"/>
      <w:pPr>
        <w:ind w:left="255" w:leftChars="0" w:hanging="25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096447"/>
    <w:rsid w:val="000D766B"/>
    <w:rsid w:val="0011590D"/>
    <w:rsid w:val="00150CB9"/>
    <w:rsid w:val="00211059"/>
    <w:rsid w:val="002B02D0"/>
    <w:rsid w:val="006249E0"/>
    <w:rsid w:val="00975D73"/>
    <w:rsid w:val="009C6480"/>
    <w:rsid w:val="00A96F0F"/>
    <w:rsid w:val="00C61874"/>
    <w:rsid w:val="00D456B0"/>
    <w:rsid w:val="0B155238"/>
    <w:rsid w:val="0C50423D"/>
    <w:rsid w:val="0D001A4F"/>
    <w:rsid w:val="0DC752FA"/>
    <w:rsid w:val="12413A23"/>
    <w:rsid w:val="12E52961"/>
    <w:rsid w:val="12E762EC"/>
    <w:rsid w:val="1B367D00"/>
    <w:rsid w:val="26B45F39"/>
    <w:rsid w:val="2BCA042B"/>
    <w:rsid w:val="3051082D"/>
    <w:rsid w:val="30EE1395"/>
    <w:rsid w:val="33894CFB"/>
    <w:rsid w:val="3547178A"/>
    <w:rsid w:val="37123D42"/>
    <w:rsid w:val="39D10532"/>
    <w:rsid w:val="3B9E12CA"/>
    <w:rsid w:val="3D645F28"/>
    <w:rsid w:val="3D65504F"/>
    <w:rsid w:val="3DD35929"/>
    <w:rsid w:val="431840BE"/>
    <w:rsid w:val="47A13B5E"/>
    <w:rsid w:val="493C25D4"/>
    <w:rsid w:val="4BDE67CA"/>
    <w:rsid w:val="4DE45D18"/>
    <w:rsid w:val="5398661A"/>
    <w:rsid w:val="55E069DD"/>
    <w:rsid w:val="59D35005"/>
    <w:rsid w:val="5CE13788"/>
    <w:rsid w:val="5D0E321C"/>
    <w:rsid w:val="5EF72C7E"/>
    <w:rsid w:val="6E5E1B0A"/>
    <w:rsid w:val="6E8D66C4"/>
    <w:rsid w:val="73E439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link w:val="1"/>
    <w:semiHidden/>
    <w:qFormat/>
    <w:uiPriority w:val="0"/>
    <w:rPr>
      <w:rFonts w:eastAsia="宋体"/>
    </w:rPr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262</Words>
  <Characters>295</Characters>
  <TotalTime>60</TotalTime>
  <ScaleCrop>false</ScaleCrop>
  <LinksUpToDate>false</LinksUpToDate>
  <CharactersWithSpaces>841</CharactersWithSpaces>
  <Application>WPS Office_12.1.0.23122_F1E327BC-269C-435d-A152-05C5408002CA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2026-04-12T19:44:00Z</dcterms:created>
  <dc:creator>Administrator</dc:creator>
  <cp:lastModifiedBy>何堂犇</cp:lastModifiedBy>
  <dcterms:modified xsi:type="dcterms:W3CDTF">2026-04-12T14:51:15Z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eyJoZGlkIjoiMmMzNGZmNzBkMjYwY2E0ZDY3MzQzMDI4NDA5YmJmZTgiLCJ1c2VySWQiOiIxNjI3MDQ0MjYyIn0=</vt:lpwstr>
  </property>
  <property fmtid="{D5CDD505-2E9C-101B-9397-08002B2CF9AE}" pid="3" name="KSOProductBuildVer">
    <vt:lpwstr>2052-12.1.0.23122</vt:lpwstr>
  </property>
  <property fmtid="{D5CDD505-2E9C-101B-9397-08002B2CF9AE}" pid="4" name="ICV">
    <vt:lpwstr>98CECB192ADA485499AB0C4AB2E28440_12</vt:lpwstr>
  </property>
</Properties>
</file>