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B63389" w14:textId="182093AC" w:rsidR="007541AD" w:rsidRPr="004F4626" w:rsidRDefault="006955A7" w:rsidP="00B46FB7">
      <w:pPr>
        <w:tabs>
          <w:tab w:val="left" w:pos="360"/>
        </w:tabs>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Forecasting distribution shifts using oceanographic indices:  </w:t>
      </w:r>
      <w:r w:rsidR="000D5661">
        <w:rPr>
          <w:rFonts w:ascii="Times New Roman" w:hAnsi="Times New Roman" w:cs="Times New Roman"/>
          <w:b/>
          <w:sz w:val="28"/>
          <w:szCs w:val="28"/>
        </w:rPr>
        <w:t xml:space="preserve">the </w:t>
      </w:r>
      <w:r w:rsidR="00D509D9">
        <w:rPr>
          <w:rFonts w:ascii="Times New Roman" w:hAnsi="Times New Roman" w:cs="Times New Roman"/>
          <w:b/>
          <w:sz w:val="28"/>
          <w:szCs w:val="28"/>
        </w:rPr>
        <w:t>spatially vary</w:t>
      </w:r>
      <w:r>
        <w:rPr>
          <w:rFonts w:ascii="Times New Roman" w:hAnsi="Times New Roman" w:cs="Times New Roman"/>
          <w:b/>
          <w:sz w:val="28"/>
          <w:szCs w:val="28"/>
        </w:rPr>
        <w:t xml:space="preserve">ing </w:t>
      </w:r>
      <w:r w:rsidR="000644EA">
        <w:rPr>
          <w:rFonts w:ascii="Times New Roman" w:hAnsi="Times New Roman" w:cs="Times New Roman"/>
          <w:b/>
          <w:sz w:val="28"/>
          <w:szCs w:val="28"/>
        </w:rPr>
        <w:t xml:space="preserve">effect </w:t>
      </w:r>
      <w:r w:rsidR="000D5661">
        <w:rPr>
          <w:rFonts w:ascii="Times New Roman" w:hAnsi="Times New Roman" w:cs="Times New Roman"/>
          <w:b/>
          <w:sz w:val="28"/>
          <w:szCs w:val="28"/>
        </w:rPr>
        <w:t xml:space="preserve">of </w:t>
      </w:r>
      <w:r w:rsidR="001B29E8">
        <w:rPr>
          <w:rFonts w:ascii="Times New Roman" w:hAnsi="Times New Roman" w:cs="Times New Roman"/>
          <w:b/>
          <w:sz w:val="28"/>
          <w:szCs w:val="28"/>
        </w:rPr>
        <w:t>cold-pool</w:t>
      </w:r>
      <w:r>
        <w:rPr>
          <w:rFonts w:ascii="Times New Roman" w:hAnsi="Times New Roman" w:cs="Times New Roman"/>
          <w:b/>
          <w:sz w:val="28"/>
          <w:szCs w:val="28"/>
        </w:rPr>
        <w:t xml:space="preserve"> extent in the Eastern Bering Sea</w:t>
      </w:r>
    </w:p>
    <w:p w14:paraId="20A1975F" w14:textId="42F8F88B" w:rsidR="007541AD" w:rsidRDefault="007541AD" w:rsidP="00B46FB7">
      <w:pPr>
        <w:tabs>
          <w:tab w:val="left" w:pos="360"/>
        </w:tabs>
        <w:spacing w:after="0" w:line="480" w:lineRule="auto"/>
        <w:rPr>
          <w:rFonts w:ascii="Times New Roman" w:hAnsi="Times New Roman" w:cs="Times New Roman"/>
          <w:sz w:val="24"/>
          <w:szCs w:val="24"/>
        </w:rPr>
      </w:pPr>
    </w:p>
    <w:p w14:paraId="6463CE33" w14:textId="72B32F17" w:rsidR="006955A7" w:rsidRDefault="006955A7"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Alternative title:  </w:t>
      </w:r>
      <w:r w:rsidRPr="006955A7">
        <w:rPr>
          <w:rFonts w:ascii="Times New Roman" w:hAnsi="Times New Roman" w:cs="Times New Roman"/>
          <w:sz w:val="24"/>
          <w:szCs w:val="24"/>
        </w:rPr>
        <w:t xml:space="preserve">Spatially-varying coefficient models for </w:t>
      </w:r>
      <w:r w:rsidR="00A349B6">
        <w:rPr>
          <w:rFonts w:ascii="Times New Roman" w:hAnsi="Times New Roman" w:cs="Times New Roman"/>
          <w:sz w:val="24"/>
          <w:szCs w:val="24"/>
        </w:rPr>
        <w:t xml:space="preserve">cold-pool extent </w:t>
      </w:r>
      <w:r w:rsidRPr="006955A7">
        <w:rPr>
          <w:rFonts w:ascii="Times New Roman" w:hAnsi="Times New Roman" w:cs="Times New Roman"/>
          <w:sz w:val="24"/>
          <w:szCs w:val="24"/>
        </w:rPr>
        <w:t>explain distribution shifts beyond the effect of local bottom temperature</w:t>
      </w:r>
    </w:p>
    <w:p w14:paraId="6498A2B0" w14:textId="77777777" w:rsidR="006955A7" w:rsidRPr="00583253" w:rsidRDefault="006955A7" w:rsidP="00B46FB7">
      <w:pPr>
        <w:tabs>
          <w:tab w:val="left" w:pos="360"/>
        </w:tabs>
        <w:spacing w:after="0" w:line="480" w:lineRule="auto"/>
        <w:rPr>
          <w:rFonts w:ascii="Times New Roman" w:hAnsi="Times New Roman" w:cs="Times New Roman"/>
          <w:sz w:val="24"/>
          <w:szCs w:val="24"/>
        </w:rPr>
      </w:pPr>
    </w:p>
    <w:p w14:paraId="556D265B" w14:textId="56AF18B5" w:rsidR="00583253" w:rsidRPr="00583253" w:rsidRDefault="00583253" w:rsidP="00B46FB7">
      <w:pPr>
        <w:tabs>
          <w:tab w:val="left" w:pos="360"/>
        </w:tabs>
        <w:spacing w:after="0" w:line="480" w:lineRule="auto"/>
        <w:rPr>
          <w:rFonts w:ascii="Times New Roman" w:hAnsi="Times New Roman" w:cs="Times New Roman"/>
          <w:sz w:val="24"/>
          <w:szCs w:val="24"/>
        </w:rPr>
      </w:pPr>
      <w:r w:rsidRPr="00583253">
        <w:rPr>
          <w:rFonts w:ascii="Times New Roman" w:hAnsi="Times New Roman" w:cs="Times New Roman"/>
          <w:sz w:val="24"/>
          <w:szCs w:val="24"/>
        </w:rPr>
        <w:t xml:space="preserve">James </w:t>
      </w:r>
      <w:r w:rsidR="00E33A21">
        <w:rPr>
          <w:rFonts w:ascii="Times New Roman" w:hAnsi="Times New Roman" w:cs="Times New Roman"/>
          <w:sz w:val="24"/>
          <w:szCs w:val="24"/>
        </w:rPr>
        <w:t xml:space="preserve">T. </w:t>
      </w:r>
      <w:r w:rsidRPr="00583253">
        <w:rPr>
          <w:rFonts w:ascii="Times New Roman" w:hAnsi="Times New Roman" w:cs="Times New Roman"/>
          <w:sz w:val="24"/>
          <w:szCs w:val="24"/>
        </w:rPr>
        <w:t>Thorson</w:t>
      </w:r>
    </w:p>
    <w:p w14:paraId="64A3A377" w14:textId="77777777" w:rsidR="00583253" w:rsidRPr="00583253" w:rsidRDefault="00583253" w:rsidP="00B46FB7">
      <w:pPr>
        <w:tabs>
          <w:tab w:val="left" w:pos="360"/>
        </w:tabs>
        <w:spacing w:after="0" w:line="480" w:lineRule="auto"/>
        <w:rPr>
          <w:rFonts w:ascii="Times New Roman" w:hAnsi="Times New Roman" w:cs="Times New Roman"/>
          <w:sz w:val="24"/>
          <w:szCs w:val="24"/>
        </w:rPr>
      </w:pPr>
    </w:p>
    <w:p w14:paraId="672252D9" w14:textId="77777777" w:rsidR="00B34CC3" w:rsidRPr="0018189D" w:rsidRDefault="00B34CC3" w:rsidP="00B46FB7">
      <w:pPr>
        <w:tabs>
          <w:tab w:val="left" w:pos="360"/>
        </w:tabs>
        <w:spacing w:after="0" w:line="480" w:lineRule="auto"/>
        <w:jc w:val="both"/>
        <w:rPr>
          <w:rFonts w:ascii="Times New Roman" w:hAnsi="Times New Roman" w:cs="Times New Roman"/>
          <w:sz w:val="24"/>
          <w:szCs w:val="24"/>
        </w:rPr>
      </w:pPr>
      <w:r w:rsidRPr="0018189D">
        <w:rPr>
          <w:rFonts w:ascii="Times New Roman" w:hAnsi="Times New Roman" w:cs="Times New Roman"/>
          <w:sz w:val="24"/>
          <w:szCs w:val="24"/>
        </w:rPr>
        <w:t>Habitat and Ecosystem Process Research program, Alaska Fisheries Science Center, National Marine Fisheries Service, NOAA, Seattle, WA, USA</w:t>
      </w:r>
    </w:p>
    <w:p w14:paraId="2AD13C14" w14:textId="5CD949D2" w:rsidR="00B34CC3" w:rsidRDefault="00B34CC3" w:rsidP="00B46FB7">
      <w:pPr>
        <w:tabs>
          <w:tab w:val="left" w:pos="360"/>
        </w:tabs>
        <w:spacing w:after="0" w:line="480" w:lineRule="auto"/>
        <w:jc w:val="both"/>
        <w:rPr>
          <w:rFonts w:ascii="Times New Roman" w:hAnsi="Times New Roman" w:cs="Times New Roman"/>
          <w:sz w:val="24"/>
          <w:szCs w:val="24"/>
        </w:rPr>
      </w:pPr>
    </w:p>
    <w:p w14:paraId="16F1F3C1" w14:textId="43CB8983" w:rsidR="008F3999" w:rsidRDefault="008F3999" w:rsidP="00B46FB7">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Journals:  Annual Reviews in Marine Science; Progress in Oceanography; </w:t>
      </w:r>
      <w:r w:rsidR="00924793">
        <w:rPr>
          <w:rFonts w:ascii="Times New Roman" w:hAnsi="Times New Roman" w:cs="Times New Roman"/>
          <w:sz w:val="24"/>
          <w:szCs w:val="24"/>
        </w:rPr>
        <w:t>D</w:t>
      </w:r>
      <w:r>
        <w:rPr>
          <w:rFonts w:ascii="Times New Roman" w:hAnsi="Times New Roman" w:cs="Times New Roman"/>
          <w:sz w:val="24"/>
          <w:szCs w:val="24"/>
        </w:rPr>
        <w:t>eep-Sea Research II</w:t>
      </w:r>
    </w:p>
    <w:p w14:paraId="489215D5" w14:textId="77777777" w:rsidR="008F3999" w:rsidRDefault="008F3999" w:rsidP="00B46FB7">
      <w:pPr>
        <w:tabs>
          <w:tab w:val="left" w:pos="360"/>
        </w:tabs>
        <w:spacing w:after="0" w:line="480" w:lineRule="auto"/>
        <w:jc w:val="both"/>
        <w:rPr>
          <w:rFonts w:ascii="Times New Roman" w:hAnsi="Times New Roman" w:cs="Times New Roman"/>
          <w:sz w:val="24"/>
          <w:szCs w:val="24"/>
        </w:rPr>
      </w:pPr>
    </w:p>
    <w:p w14:paraId="11FFBA25" w14:textId="7D391C90" w:rsidR="00B34CC3" w:rsidRPr="0018189D" w:rsidRDefault="00B34CC3" w:rsidP="00B46FB7">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Keywords:</w:t>
      </w:r>
      <w:r w:rsidR="00D82850">
        <w:rPr>
          <w:rFonts w:ascii="Times New Roman" w:hAnsi="Times New Roman" w:cs="Times New Roman"/>
          <w:sz w:val="24"/>
          <w:szCs w:val="24"/>
        </w:rPr>
        <w:t xml:space="preserve"> Eastern Bering Sea; Cold pool extent;  Spatially varying coefficient;  species distribution model; vector-autogressive spatio-temporal; VAST; </w:t>
      </w:r>
    </w:p>
    <w:p w14:paraId="4ED777FC" w14:textId="77777777" w:rsidR="00B34CC3" w:rsidRDefault="00B34CC3"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748DF627" w14:textId="77777777" w:rsidR="00192F7F" w:rsidRDefault="00192F7F" w:rsidP="00B46FB7">
      <w:pPr>
        <w:tabs>
          <w:tab w:val="left" w:pos="360"/>
        </w:tabs>
        <w:spacing w:after="0" w:line="480" w:lineRule="auto"/>
        <w:rPr>
          <w:rFonts w:ascii="Times New Roman" w:hAnsi="Times New Roman" w:cs="Times New Roman"/>
          <w:b/>
          <w:sz w:val="28"/>
          <w:szCs w:val="28"/>
        </w:rPr>
      </w:pPr>
      <w:r>
        <w:rPr>
          <w:rFonts w:ascii="Times New Roman" w:hAnsi="Times New Roman" w:cs="Times New Roman"/>
          <w:b/>
          <w:sz w:val="28"/>
          <w:szCs w:val="28"/>
        </w:rPr>
        <w:lastRenderedPageBreak/>
        <w:t>Abstract</w:t>
      </w:r>
    </w:p>
    <w:p w14:paraId="2A4B5F5A" w14:textId="4D1CF31E" w:rsidR="00192F7F" w:rsidRPr="00192F7F" w:rsidRDefault="00192F7F"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Oceanographers have spent decades developing annual indices that represent basin-scale physical conditions in marine ecosystems.  Well-known examples includ</w:t>
      </w:r>
      <w:r w:rsidR="006148DD">
        <w:rPr>
          <w:rFonts w:ascii="Times New Roman" w:hAnsi="Times New Roman" w:cs="Times New Roman"/>
          <w:sz w:val="24"/>
          <w:szCs w:val="24"/>
        </w:rPr>
        <w:t>e</w:t>
      </w:r>
      <w:r>
        <w:rPr>
          <w:rFonts w:ascii="Times New Roman" w:hAnsi="Times New Roman" w:cs="Times New Roman"/>
          <w:sz w:val="24"/>
          <w:szCs w:val="24"/>
        </w:rPr>
        <w:t xml:space="preserve"> the Pacific Decadal Oscillation, representing annual variation in the location of warm waters relative to climatologic averages in the North Pacific, or cold-pool extent (CPE), representing the area with cold waters resulting from previous ice melts in the Eastern Bering Sea.  However, these indices are rarely included in the species distribution models (SDMs) that are increasingly used to identify and forecast distribution shifts under future climate scenarios.  I therefore review three interpretations of </w:t>
      </w:r>
      <w:r w:rsidR="00D509D9">
        <w:rPr>
          <w:rFonts w:ascii="Times New Roman" w:hAnsi="Times New Roman" w:cs="Times New Roman"/>
          <w:sz w:val="24"/>
          <w:szCs w:val="24"/>
        </w:rPr>
        <w:t>spatially vary</w:t>
      </w:r>
      <w:r>
        <w:rPr>
          <w:rFonts w:ascii="Times New Roman" w:hAnsi="Times New Roman" w:cs="Times New Roman"/>
          <w:sz w:val="24"/>
          <w:szCs w:val="24"/>
        </w:rPr>
        <w:t xml:space="preserve">ing coefficient </w:t>
      </w:r>
      <w:r w:rsidR="003A67E6">
        <w:rPr>
          <w:rFonts w:ascii="Times New Roman" w:hAnsi="Times New Roman" w:cs="Times New Roman"/>
          <w:sz w:val="24"/>
          <w:szCs w:val="24"/>
        </w:rPr>
        <w:t xml:space="preserve">(SVC) </w:t>
      </w:r>
      <w:r>
        <w:rPr>
          <w:rFonts w:ascii="Times New Roman" w:hAnsi="Times New Roman" w:cs="Times New Roman"/>
          <w:sz w:val="24"/>
          <w:szCs w:val="24"/>
        </w:rPr>
        <w:t xml:space="preserve">models, explain how these </w:t>
      </w:r>
      <w:r w:rsidR="006148DD">
        <w:rPr>
          <w:rFonts w:ascii="Times New Roman" w:hAnsi="Times New Roman" w:cs="Times New Roman"/>
          <w:sz w:val="24"/>
          <w:szCs w:val="24"/>
        </w:rPr>
        <w:t xml:space="preserve">models </w:t>
      </w:r>
      <w:r>
        <w:rPr>
          <w:rFonts w:ascii="Times New Roman" w:hAnsi="Times New Roman" w:cs="Times New Roman"/>
          <w:sz w:val="24"/>
          <w:szCs w:val="24"/>
        </w:rPr>
        <w:t xml:space="preserve">can be used to estimate the spatial patterns associated with positive/negative phases of oceanographic indices, and add this option to the multivariate spatio-temporal model </w:t>
      </w:r>
      <w:r>
        <w:rPr>
          <w:rFonts w:ascii="Times New Roman" w:hAnsi="Times New Roman" w:cs="Times New Roman"/>
          <w:i/>
          <w:sz w:val="24"/>
          <w:szCs w:val="24"/>
        </w:rPr>
        <w:t>VAST</w:t>
      </w:r>
      <w:r>
        <w:rPr>
          <w:rFonts w:ascii="Times New Roman" w:hAnsi="Times New Roman" w:cs="Times New Roman"/>
          <w:sz w:val="24"/>
          <w:szCs w:val="24"/>
        </w:rPr>
        <w:t xml:space="preserve">.  I then use a case-study involving bottom trawl data for twenty fish and decapod species in the Eastern Bering Sea 1982-2017 to answer: does an SVC model for cold-pool area explain a substantial portion of variation in spatial distribution for species in this region? and (2) does a </w:t>
      </w:r>
      <w:r w:rsidR="00D509D9">
        <w:rPr>
          <w:rFonts w:ascii="Times New Roman" w:hAnsi="Times New Roman" w:cs="Times New Roman"/>
          <w:sz w:val="24"/>
          <w:szCs w:val="24"/>
        </w:rPr>
        <w:t>spatially vary</w:t>
      </w:r>
      <w:r>
        <w:rPr>
          <w:rFonts w:ascii="Times New Roman" w:hAnsi="Times New Roman" w:cs="Times New Roman"/>
          <w:sz w:val="24"/>
          <w:szCs w:val="24"/>
        </w:rPr>
        <w:t xml:space="preserve">ing </w:t>
      </w:r>
      <w:r w:rsidR="006148DD">
        <w:rPr>
          <w:rFonts w:ascii="Times New Roman" w:hAnsi="Times New Roman" w:cs="Times New Roman"/>
          <w:sz w:val="24"/>
          <w:szCs w:val="24"/>
        </w:rPr>
        <w:t xml:space="preserve">effect </w:t>
      </w:r>
      <w:r>
        <w:rPr>
          <w:rFonts w:ascii="Times New Roman" w:hAnsi="Times New Roman" w:cs="Times New Roman"/>
          <w:sz w:val="24"/>
          <w:szCs w:val="24"/>
        </w:rPr>
        <w:t xml:space="preserve">of the cold-pool remain useful and significant even when local temperature </w:t>
      </w:r>
      <w:r w:rsidR="006148DD">
        <w:rPr>
          <w:rFonts w:ascii="Times New Roman" w:hAnsi="Times New Roman" w:cs="Times New Roman"/>
          <w:sz w:val="24"/>
          <w:szCs w:val="24"/>
        </w:rPr>
        <w:t xml:space="preserve">is also included </w:t>
      </w:r>
      <w:r>
        <w:rPr>
          <w:rFonts w:ascii="Times New Roman" w:hAnsi="Times New Roman" w:cs="Times New Roman"/>
          <w:sz w:val="24"/>
          <w:szCs w:val="24"/>
        </w:rPr>
        <w:t xml:space="preserve">as a covariate?  Results show that CPE and local bottom temperature </w:t>
      </w:r>
      <w:r w:rsidR="00222149">
        <w:rPr>
          <w:rFonts w:ascii="Times New Roman" w:hAnsi="Times New Roman" w:cs="Times New Roman"/>
          <w:sz w:val="24"/>
          <w:szCs w:val="24"/>
        </w:rPr>
        <w:t xml:space="preserve">are selected by AIC for </w:t>
      </w:r>
      <w:r w:rsidR="00B52010">
        <w:rPr>
          <w:rFonts w:ascii="Times New Roman" w:hAnsi="Times New Roman" w:cs="Times New Roman"/>
          <w:sz w:val="24"/>
          <w:szCs w:val="24"/>
        </w:rPr>
        <w:t>13</w:t>
      </w:r>
      <w:r w:rsidR="00222149">
        <w:rPr>
          <w:rFonts w:ascii="Times New Roman" w:hAnsi="Times New Roman" w:cs="Times New Roman"/>
          <w:sz w:val="24"/>
          <w:szCs w:val="24"/>
        </w:rPr>
        <w:t xml:space="preserve"> of </w:t>
      </w:r>
      <w:r w:rsidR="00B52010">
        <w:rPr>
          <w:rFonts w:ascii="Times New Roman" w:hAnsi="Times New Roman" w:cs="Times New Roman"/>
          <w:sz w:val="24"/>
          <w:szCs w:val="24"/>
        </w:rPr>
        <w:t xml:space="preserve">17 </w:t>
      </w:r>
      <w:r w:rsidR="00222149">
        <w:rPr>
          <w:rFonts w:ascii="Times New Roman" w:hAnsi="Times New Roman" w:cs="Times New Roman"/>
          <w:sz w:val="24"/>
          <w:szCs w:val="24"/>
        </w:rPr>
        <w:t xml:space="preserve">species, </w:t>
      </w:r>
      <w:r>
        <w:rPr>
          <w:rFonts w:ascii="Times New Roman" w:hAnsi="Times New Roman" w:cs="Times New Roman"/>
          <w:sz w:val="24"/>
          <w:szCs w:val="24"/>
        </w:rPr>
        <w:t>explain nearly 20% of spatio-temporal variation</w:t>
      </w:r>
      <w:r w:rsidR="00222149">
        <w:rPr>
          <w:rFonts w:ascii="Times New Roman" w:hAnsi="Times New Roman" w:cs="Times New Roman"/>
          <w:sz w:val="24"/>
          <w:szCs w:val="24"/>
        </w:rPr>
        <w:t xml:space="preserve"> on average and are parsimonious, and CPE does explain variation in excess of local temperature alone.  I therefore conclude that </w:t>
      </w:r>
      <w:r w:rsidR="00D509D9">
        <w:rPr>
          <w:rFonts w:ascii="Times New Roman" w:hAnsi="Times New Roman" w:cs="Times New Roman"/>
          <w:sz w:val="24"/>
          <w:szCs w:val="24"/>
        </w:rPr>
        <w:t>spatially vary</w:t>
      </w:r>
      <w:r w:rsidR="00222149">
        <w:rPr>
          <w:rFonts w:ascii="Times New Roman" w:hAnsi="Times New Roman" w:cs="Times New Roman"/>
          <w:sz w:val="24"/>
          <w:szCs w:val="24"/>
        </w:rPr>
        <w:t xml:space="preserve">ing coefficient models are a useful way to assimilate oceanographic indices within SDM models, and hypothesize that these will be useful to account for decadal-scale variability within multi-decadal forecasts of distribution shift.  </w:t>
      </w:r>
      <w:r>
        <w:rPr>
          <w:rFonts w:ascii="Times New Roman" w:hAnsi="Times New Roman" w:cs="Times New Roman"/>
          <w:sz w:val="24"/>
          <w:szCs w:val="24"/>
        </w:rPr>
        <w:t xml:space="preserve">  </w:t>
      </w:r>
    </w:p>
    <w:p w14:paraId="7F908786" w14:textId="1974A0D9" w:rsidR="00192F7F" w:rsidRDefault="00192F7F" w:rsidP="00B46FB7">
      <w:pPr>
        <w:tabs>
          <w:tab w:val="left" w:pos="360"/>
        </w:tabs>
        <w:spacing w:after="0" w:line="480" w:lineRule="auto"/>
        <w:rPr>
          <w:rFonts w:ascii="Times New Roman" w:hAnsi="Times New Roman" w:cs="Times New Roman"/>
          <w:b/>
          <w:sz w:val="28"/>
          <w:szCs w:val="28"/>
        </w:rPr>
      </w:pPr>
      <w:r>
        <w:rPr>
          <w:rFonts w:ascii="Times New Roman" w:hAnsi="Times New Roman" w:cs="Times New Roman"/>
          <w:b/>
          <w:sz w:val="28"/>
          <w:szCs w:val="28"/>
        </w:rPr>
        <w:br w:type="page"/>
      </w:r>
    </w:p>
    <w:p w14:paraId="3094DEF3" w14:textId="384664A9" w:rsidR="00B34CC3" w:rsidRPr="009B6946" w:rsidRDefault="00B34CC3" w:rsidP="00B46FB7">
      <w:pPr>
        <w:tabs>
          <w:tab w:val="left" w:pos="360"/>
        </w:tabs>
        <w:spacing w:after="0" w:line="480" w:lineRule="auto"/>
        <w:rPr>
          <w:rFonts w:ascii="Times New Roman" w:hAnsi="Times New Roman" w:cs="Times New Roman"/>
          <w:b/>
          <w:sz w:val="28"/>
          <w:szCs w:val="28"/>
        </w:rPr>
      </w:pPr>
      <w:r w:rsidRPr="009B6946">
        <w:rPr>
          <w:rFonts w:ascii="Times New Roman" w:hAnsi="Times New Roman" w:cs="Times New Roman"/>
          <w:b/>
          <w:sz w:val="28"/>
          <w:szCs w:val="28"/>
        </w:rPr>
        <w:lastRenderedPageBreak/>
        <w:t>Introduction</w:t>
      </w:r>
    </w:p>
    <w:p w14:paraId="413696CC" w14:textId="3622BB9A" w:rsidR="00187E1D" w:rsidRDefault="00ED51CC"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187E1D">
        <w:rPr>
          <w:rFonts w:ascii="Times New Roman" w:hAnsi="Times New Roman" w:cs="Times New Roman"/>
          <w:sz w:val="24"/>
          <w:szCs w:val="24"/>
        </w:rPr>
        <w:t xml:space="preserve">Ecosystem-based management (EBM) involves regulating multiple ocean impacts including harvest, tourism, </w:t>
      </w:r>
      <w:r w:rsidR="006B6AE0">
        <w:rPr>
          <w:rFonts w:ascii="Times New Roman" w:hAnsi="Times New Roman" w:cs="Times New Roman"/>
          <w:sz w:val="24"/>
          <w:szCs w:val="24"/>
        </w:rPr>
        <w:t xml:space="preserve">and </w:t>
      </w:r>
      <w:r w:rsidR="00187E1D">
        <w:rPr>
          <w:rFonts w:ascii="Times New Roman" w:hAnsi="Times New Roman" w:cs="Times New Roman"/>
          <w:sz w:val="24"/>
          <w:szCs w:val="24"/>
        </w:rPr>
        <w:t xml:space="preserve">energy </w:t>
      </w:r>
      <w:r w:rsidR="006B6AE0">
        <w:rPr>
          <w:rFonts w:ascii="Times New Roman" w:hAnsi="Times New Roman" w:cs="Times New Roman"/>
          <w:sz w:val="24"/>
          <w:szCs w:val="24"/>
        </w:rPr>
        <w:t xml:space="preserve">development </w:t>
      </w:r>
      <w:r w:rsidR="00187E1D">
        <w:rPr>
          <w:rFonts w:ascii="Times New Roman" w:hAnsi="Times New Roman" w:cs="Times New Roman"/>
          <w:sz w:val="24"/>
          <w:szCs w:val="24"/>
        </w:rPr>
        <w:t>while accounting for species interactions, ecosystem drivers, and socio-economic linkages.  EB</w:t>
      </w:r>
      <w:r w:rsidR="003A67E6">
        <w:rPr>
          <w:rFonts w:ascii="Times New Roman" w:hAnsi="Times New Roman" w:cs="Times New Roman"/>
          <w:sz w:val="24"/>
          <w:szCs w:val="24"/>
        </w:rPr>
        <w:t>M</w:t>
      </w:r>
      <w:r w:rsidR="000644EA">
        <w:rPr>
          <w:rFonts w:ascii="Times New Roman" w:hAnsi="Times New Roman" w:cs="Times New Roman"/>
          <w:sz w:val="24"/>
          <w:szCs w:val="24"/>
        </w:rPr>
        <w:t xml:space="preserve"> </w:t>
      </w:r>
      <w:r w:rsidR="00187E1D">
        <w:rPr>
          <w:rFonts w:ascii="Times New Roman" w:hAnsi="Times New Roman" w:cs="Times New Roman"/>
          <w:sz w:val="24"/>
          <w:szCs w:val="24"/>
        </w:rPr>
        <w:t xml:space="preserve">has evolved in tandem with new tools for understanding </w:t>
      </w:r>
      <w:r w:rsidR="003B2B54">
        <w:rPr>
          <w:rFonts w:ascii="Times New Roman" w:hAnsi="Times New Roman" w:cs="Times New Roman"/>
          <w:sz w:val="24"/>
          <w:szCs w:val="24"/>
        </w:rPr>
        <w:t xml:space="preserve">the multiple human impacts and outcomes resulting from ocean management.  </w:t>
      </w:r>
      <w:r w:rsidR="00AC110D">
        <w:rPr>
          <w:rFonts w:ascii="Times New Roman" w:hAnsi="Times New Roman" w:cs="Times New Roman"/>
          <w:sz w:val="24"/>
          <w:szCs w:val="24"/>
        </w:rPr>
        <w:t xml:space="preserve">Examples of </w:t>
      </w:r>
      <w:r w:rsidR="003B2B54">
        <w:rPr>
          <w:rFonts w:ascii="Times New Roman" w:hAnsi="Times New Roman" w:cs="Times New Roman"/>
          <w:sz w:val="24"/>
          <w:szCs w:val="24"/>
        </w:rPr>
        <w:t xml:space="preserve">new tools include:  techniques to include annual oceanographic conditions in the stock-assessment models that are used to define annual catch limits </w:t>
      </w:r>
      <w:r w:rsidR="003B2B54">
        <w:rPr>
          <w:rFonts w:ascii="Times New Roman" w:hAnsi="Times New Roman" w:cs="Times New Roman"/>
          <w:sz w:val="24"/>
          <w:szCs w:val="24"/>
        </w:rPr>
        <w:fldChar w:fldCharType="begin"/>
      </w:r>
      <w:r w:rsidR="003B2B54">
        <w:rPr>
          <w:rFonts w:ascii="Times New Roman" w:hAnsi="Times New Roman" w:cs="Times New Roman"/>
          <w:sz w:val="24"/>
          <w:szCs w:val="24"/>
        </w:rPr>
        <w:instrText xml:space="preserve"> ADDIN ZOTERO_ITEM CSL_CITATION {"citationID":"QAWHnnoA","properties":{"formattedCitation":"(Schirripa et al., 2009)","plainCitation":"(Schirripa et al., 2009)","noteIndex":0},"citationItems":[{"id":1325,"uris":["http://zotero.org/users/251206/items/BD85ECAD"],"uri":["http://zotero.org/users/251206/items/BD85ECAD"],"itemData":{"id":1325,"type":"article-journal","title":"Testing different methods of incorporating climate data into the assessment of US West Coast sablefish","container-title":"ICES Journal of Marine Science","page":"1605-1613","volume":"66","issue":"7","source":"Google Scholar","journalAbbreviation":"ICES J. Mar. Sci.","author":[{"family":"Schirripa","given":"M. J"},{"family":"Goodyear","given":"C. P"},{"family":"Methot","given":"R. M"}],"issued":{"date-parts":[["2009"]]}}}],"schema":"https://github.com/citation-style-language/schema/raw/master/csl-citation.json"} </w:instrText>
      </w:r>
      <w:r w:rsidR="003B2B54">
        <w:rPr>
          <w:rFonts w:ascii="Times New Roman" w:hAnsi="Times New Roman" w:cs="Times New Roman"/>
          <w:sz w:val="24"/>
          <w:szCs w:val="24"/>
        </w:rPr>
        <w:fldChar w:fldCharType="separate"/>
      </w:r>
      <w:r w:rsidR="003B2B54" w:rsidRPr="003B2B54">
        <w:rPr>
          <w:rFonts w:ascii="Times New Roman" w:hAnsi="Times New Roman" w:cs="Times New Roman"/>
          <w:sz w:val="24"/>
        </w:rPr>
        <w:t>(Schirripa et al., 2009)</w:t>
      </w:r>
      <w:r w:rsidR="003B2B54">
        <w:rPr>
          <w:rFonts w:ascii="Times New Roman" w:hAnsi="Times New Roman" w:cs="Times New Roman"/>
          <w:sz w:val="24"/>
          <w:szCs w:val="24"/>
        </w:rPr>
        <w:fldChar w:fldCharType="end"/>
      </w:r>
      <w:r w:rsidR="003B2B54">
        <w:rPr>
          <w:rFonts w:ascii="Times New Roman" w:hAnsi="Times New Roman" w:cs="Times New Roman"/>
          <w:sz w:val="24"/>
          <w:szCs w:val="24"/>
        </w:rPr>
        <w:t xml:space="preserve">;  ecosystem models </w:t>
      </w:r>
      <w:r w:rsidR="00552B86">
        <w:rPr>
          <w:rFonts w:ascii="Times New Roman" w:hAnsi="Times New Roman" w:cs="Times New Roman"/>
          <w:sz w:val="24"/>
          <w:szCs w:val="24"/>
        </w:rPr>
        <w:t xml:space="preserve">that include mechanistic detail regarding </w:t>
      </w:r>
      <w:r w:rsidR="003B2B54">
        <w:rPr>
          <w:rFonts w:ascii="Times New Roman" w:hAnsi="Times New Roman" w:cs="Times New Roman"/>
          <w:sz w:val="24"/>
          <w:szCs w:val="24"/>
        </w:rPr>
        <w:t xml:space="preserve">terrestrial and physical drivers </w:t>
      </w:r>
      <w:r w:rsidR="003B2B54">
        <w:rPr>
          <w:rFonts w:ascii="Times New Roman" w:hAnsi="Times New Roman" w:cs="Times New Roman"/>
          <w:sz w:val="24"/>
          <w:szCs w:val="24"/>
        </w:rPr>
        <w:fldChar w:fldCharType="begin"/>
      </w:r>
      <w:r w:rsidR="003B2B54">
        <w:rPr>
          <w:rFonts w:ascii="Times New Roman" w:hAnsi="Times New Roman" w:cs="Times New Roman"/>
          <w:sz w:val="24"/>
          <w:szCs w:val="24"/>
        </w:rPr>
        <w:instrText xml:space="preserve"> ADDIN ZOTERO_ITEM CSL_CITATION {"citationID":"EgiuUDeh","properties":{"formattedCitation":"(Fulton et al., 2011)","plainCitation":"(Fulton et al., 2011)","noteIndex":0},"citationItems":[{"id":21,"uris":["http://zotero.org/users/251206/items/4GKJCDUK"],"uri":["http://zotero.org/users/251206/items/4GKJCDUK"],"itemData":{"id":21,"type":"article-journal","title":"Lessons in modelling and management of marine ecosystems: the Atlantis experience","container-title":"Fish and Fisheries","page":"171-188","volume":"12","issue":"2","source":"Wiley Online Library","abstract":"Models are key tools for integrating a wide range of system information in a common framework. Attempts to model exploited marine ecosystems can increase understanding of system dynamics; identify major processes, drivers and responses; highlight major gaps in knowledge; and provide a mechanism to ‘road test’ management strategies before implementing them in reality. The Atlantis modelling framework has been used in these roles for a decade and is regularly being modified and applied to new questions (e.g. it is being coupled to climate, biophysical and economic models to help consider climate change impacts, monitoring schemes and multiple use management). This study describes some common lessons learned from its implementation, particularly in regard to when these tools are most effective and the likely form of best practices for ecosystem-based management (EBM). Most importantly, it highlighted that no single management lever is sufficient to address the many trade-offs associated with EBM and that the mix of measures needed to successfully implement EBM will differ between systems and will change through time. Although it is doubtful that any single management action will be based solely on Atlantis, this modelling approach continues to provide important insights for managers when making natural resource management decisions.","DOI":"10.1111/j.1467-2979.2011.00412.x","ISSN":"1467-2979","shortTitle":"Lessons in modelling and management of marine ecosystems","language":"en","author":[{"family":"Fulton","given":"Elizabeth A"},{"family":"Link","given":"Jason S"},{"family":"Kaplan","given":"Isaac C"},{"family":"Savina-Rolland","given":"Marie"},{"family":"Johnson","given":"Penelope"},{"family":"Ainsworth","given":"Cameron"},{"family":"Horne","given":"Peter"},{"family":"Gorton","given":"Rebecca"},{"family":"Gamble","given":"Robert J"},{"family":"Smith","given":"Anthony D M"},{"family":"Smith","given":"David C"}],"issued":{"date-parts":[["2011",6,1]]}}}],"schema":"https://github.com/citation-style-language/schema/raw/master/csl-citation.json"} </w:instrText>
      </w:r>
      <w:r w:rsidR="003B2B54">
        <w:rPr>
          <w:rFonts w:ascii="Times New Roman" w:hAnsi="Times New Roman" w:cs="Times New Roman"/>
          <w:sz w:val="24"/>
          <w:szCs w:val="24"/>
        </w:rPr>
        <w:fldChar w:fldCharType="separate"/>
      </w:r>
      <w:r w:rsidR="003B2B54" w:rsidRPr="003B2B54">
        <w:rPr>
          <w:rFonts w:ascii="Times New Roman" w:hAnsi="Times New Roman" w:cs="Times New Roman"/>
          <w:sz w:val="24"/>
        </w:rPr>
        <w:t>(Fulton et al., 2011)</w:t>
      </w:r>
      <w:r w:rsidR="003B2B54">
        <w:rPr>
          <w:rFonts w:ascii="Times New Roman" w:hAnsi="Times New Roman" w:cs="Times New Roman"/>
          <w:sz w:val="24"/>
          <w:szCs w:val="24"/>
        </w:rPr>
        <w:fldChar w:fldCharType="end"/>
      </w:r>
      <w:r w:rsidR="003B2B54">
        <w:rPr>
          <w:rFonts w:ascii="Times New Roman" w:hAnsi="Times New Roman" w:cs="Times New Roman"/>
          <w:sz w:val="24"/>
          <w:szCs w:val="24"/>
        </w:rPr>
        <w:t xml:space="preserve">;  and </w:t>
      </w:r>
      <w:r w:rsidR="003A67E6">
        <w:rPr>
          <w:rFonts w:ascii="Times New Roman" w:hAnsi="Times New Roman" w:cs="Times New Roman"/>
          <w:sz w:val="24"/>
          <w:szCs w:val="24"/>
        </w:rPr>
        <w:t>spatial</w:t>
      </w:r>
      <w:r w:rsidR="003B2B54">
        <w:rPr>
          <w:rFonts w:ascii="Times New Roman" w:hAnsi="Times New Roman" w:cs="Times New Roman"/>
          <w:sz w:val="24"/>
          <w:szCs w:val="24"/>
        </w:rPr>
        <w:t xml:space="preserve"> models </w:t>
      </w:r>
      <w:r w:rsidR="007466AA">
        <w:rPr>
          <w:rFonts w:ascii="Times New Roman" w:hAnsi="Times New Roman" w:cs="Times New Roman"/>
          <w:sz w:val="24"/>
          <w:szCs w:val="24"/>
        </w:rPr>
        <w:t xml:space="preserve">that are used to </w:t>
      </w:r>
      <w:r w:rsidR="003B2B54">
        <w:rPr>
          <w:rFonts w:ascii="Times New Roman" w:hAnsi="Times New Roman" w:cs="Times New Roman"/>
          <w:sz w:val="24"/>
          <w:szCs w:val="24"/>
        </w:rPr>
        <w:t xml:space="preserve">estimate and validate maps of fish habitats </w:t>
      </w:r>
      <w:r w:rsidR="003B2B54">
        <w:rPr>
          <w:rFonts w:ascii="Times New Roman" w:hAnsi="Times New Roman" w:cs="Times New Roman"/>
          <w:sz w:val="24"/>
          <w:szCs w:val="24"/>
        </w:rPr>
        <w:fldChar w:fldCharType="begin"/>
      </w:r>
      <w:r w:rsidR="003B2B54">
        <w:rPr>
          <w:rFonts w:ascii="Times New Roman" w:hAnsi="Times New Roman" w:cs="Times New Roman"/>
          <w:sz w:val="24"/>
          <w:szCs w:val="24"/>
        </w:rPr>
        <w:instrText xml:space="preserve"> ADDIN ZOTERO_ITEM CSL_CITATION {"citationID":"6k9Ythzt","properties":{"formattedCitation":"(Rooper et al., 2016)","plainCitation":"(Rooper et al., 2016)","noteIndex":0},"citationItems":[{"id":2047,"uris":["http://zotero.org/users/251206/items/PF8HBX48"],"uri":["http://zotero.org/users/251206/items/PF8HBX48"],"itemData":{"id":2047,"type":"article-journal","title":"Validation and improvement of species distribution models for structure-forming invertebrates in the eastern Bering Sea with an independent survey","container-title":"Marine Ecology Progress Series","page":"117-130","volume":"551","source":"Inter-Research Science Center","abstract":"ABSTRACT: Species distribution modeling is a useful tool for informing ecosystems management. However, validation of model predictions through independent surveys is rarely attempted in marine environments, which are challenging to study and often contain sensitive habitats. We conducted an underwater camera survey of the eastern Bering Sea slope and outer shelf as an independent test of species distribution modeling of deep-sea corals, sponges and sea whips based on bottom trawl survey data. We also refined model predictions by combining species distribution models based on both bottom trawl and underwater camera survey data. The camera survey also was conducted to determine density and size of the taxa. The trawl model predictions generally were confirmed by the camera observations (area under the receiver–operator curve [AUC] values of 0.63 to 0.73). Combining bottom trawl and camera survey model predictions improved predictive ability (AUC values of 0.74 to 0.90 for camera observations). Corals were distributed in Pribilof Canyon and the slope area to the northwest of the canyon, and colony densities averaged 0.005 ind. m–2 and ranged from 0 to 0.28 ind. m–2. The low densities were consistent with the absence of hard substrates for coral attachment in most areas of the eastern Bering Sea. Sponge and sea whip density averaged 0.11 ind. m–2, with sponge density ranging from 0 to 13.1 and sea whip density ranging from 0 to 8.4 ind. m–2. Invertebrate heights were generally small, with most taxonomic groups &lt;20 cm in average height. This type of study is vital to providing the best scientific advice for spatial management of structure-forming invertebrates, so that decisions concerning the protection of these vulnerable communities can be implemented with a clear basis for priorities.","DOI":"10.3354/meps11703","journalAbbreviation":"Mar Ecol Prog Ser","author":[{"family":"Rooper","given":"Christopher N."},{"family":"Sigler","given":"Michael F."},{"family":"Goddard","given":"Pam"},{"family":"Malecha","given":"Pat"},{"family":"Towler","given":"Rick"},{"family":"Williams","given":"Kresimir"},{"family":"Wilborn","given":"Rachel"},{"family":"Zimmermann","given":"Mark"}],"issued":{"date-parts":[["2016",6,9]]}}}],"schema":"https://github.com/citation-style-language/schema/raw/master/csl-citation.json"} </w:instrText>
      </w:r>
      <w:r w:rsidR="003B2B54">
        <w:rPr>
          <w:rFonts w:ascii="Times New Roman" w:hAnsi="Times New Roman" w:cs="Times New Roman"/>
          <w:sz w:val="24"/>
          <w:szCs w:val="24"/>
        </w:rPr>
        <w:fldChar w:fldCharType="separate"/>
      </w:r>
      <w:r w:rsidR="003B2B54" w:rsidRPr="003B2B54">
        <w:rPr>
          <w:rFonts w:ascii="Times New Roman" w:hAnsi="Times New Roman" w:cs="Times New Roman"/>
          <w:sz w:val="24"/>
        </w:rPr>
        <w:t>(Rooper et al., 2016)</w:t>
      </w:r>
      <w:r w:rsidR="003B2B54">
        <w:rPr>
          <w:rFonts w:ascii="Times New Roman" w:hAnsi="Times New Roman" w:cs="Times New Roman"/>
          <w:sz w:val="24"/>
          <w:szCs w:val="24"/>
        </w:rPr>
        <w:fldChar w:fldCharType="end"/>
      </w:r>
      <w:r w:rsidR="003B2B54">
        <w:rPr>
          <w:rFonts w:ascii="Times New Roman" w:hAnsi="Times New Roman" w:cs="Times New Roman"/>
          <w:sz w:val="24"/>
          <w:szCs w:val="24"/>
        </w:rPr>
        <w:t xml:space="preserve">.  Continued improvement in these tools is likely to support ongoing developments in ocean management and governance, e.g., the Bering Sea Fisheries Ecosystem Plan which now includes explicit linkages to climate-linked ecosystem models (citation).  </w:t>
      </w:r>
    </w:p>
    <w:p w14:paraId="3D5E0C13" w14:textId="77C2012A" w:rsidR="00327A28" w:rsidRDefault="00187E1D"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3B2B54">
        <w:rPr>
          <w:rFonts w:ascii="Times New Roman" w:hAnsi="Times New Roman" w:cs="Times New Roman"/>
          <w:sz w:val="24"/>
          <w:szCs w:val="24"/>
        </w:rPr>
        <w:t xml:space="preserve">One topic of growing importance in ocean governance is climate-driven shifts in species distribution </w:t>
      </w:r>
      <w:r w:rsidR="003B2B54">
        <w:rPr>
          <w:rFonts w:ascii="Times New Roman" w:hAnsi="Times New Roman" w:cs="Times New Roman"/>
          <w:sz w:val="24"/>
          <w:szCs w:val="24"/>
        </w:rPr>
        <w:fldChar w:fldCharType="begin"/>
      </w:r>
      <w:r w:rsidR="003B2B54">
        <w:rPr>
          <w:rFonts w:ascii="Times New Roman" w:hAnsi="Times New Roman" w:cs="Times New Roman"/>
          <w:sz w:val="24"/>
          <w:szCs w:val="24"/>
        </w:rPr>
        <w:instrText xml:space="preserve"> ADDIN ZOTERO_ITEM CSL_CITATION {"citationID":"4qEJGHH5","properties":{"formattedCitation":"(Pinsky et al., 2018)","plainCitation":"(Pinsky et al., 2018)","noteIndex":0},"citationItems":[{"id":4892,"uris":["http://zotero.org/users/251206/items/QR9FRSZ9"],"uri":["http://zotero.org/users/251206/items/QR9FRSZ9"],"itemData":{"id":4892,"type":"article-journal","title":"Preparing ocean governance for species on the move","container-title":"Science","page":"1189-1191","volume":"360","issue":"6394","source":"science.sciencemag.org","abstract":"The ocean is a critical source of nutrition for billions of people, with potential to yield further food, profits, and employment in the future (1). But fisheries face a serious new challenge as climate change drives the ocean to conditions not experienced historically. Local, national, regional, and international fisheries are substantially underprepared for geographic shifts in marine animals driven by climate change over the coming decades. Fish and other animals have already shifted into new territory at a rate averaging 70 km per decade (2), and these shifts are expected to continue or accelerate (3). We show here that many species will likely shift across national and other political boundaries in the coming decades, creating the potential for conflict over newly shared resources.\nPolicy must anticipate conflict over geographic shifts\nPolicy must anticipate conflict over geographic shifts","DOI":"10.1126/science.aat2360","ISSN":"0036-8075, 1095-9203","note":"PMID: 29903965","language":"en","author":[{"family":"Pinsky","given":"Malin L."},{"family":"Reygondeau","given":"Gabriel"},{"family":"Caddell","given":"Richard"},{"family":"Palacios-Abrantes","given":"Juliano"},{"family":"Spijkers","given":"Jessica"},{"family":"Cheung","given":"William W. L."}],"issued":{"date-parts":[["2018",6,15]]}}}],"schema":"https://github.com/citation-style-language/schema/raw/master/csl-citation.json"} </w:instrText>
      </w:r>
      <w:r w:rsidR="003B2B54">
        <w:rPr>
          <w:rFonts w:ascii="Times New Roman" w:hAnsi="Times New Roman" w:cs="Times New Roman"/>
          <w:sz w:val="24"/>
          <w:szCs w:val="24"/>
        </w:rPr>
        <w:fldChar w:fldCharType="separate"/>
      </w:r>
      <w:r w:rsidR="003B2B54" w:rsidRPr="003B2B54">
        <w:rPr>
          <w:rFonts w:ascii="Times New Roman" w:hAnsi="Times New Roman" w:cs="Times New Roman"/>
          <w:sz w:val="24"/>
        </w:rPr>
        <w:t>(Pinsky et al., 2018)</w:t>
      </w:r>
      <w:r w:rsidR="003B2B54">
        <w:rPr>
          <w:rFonts w:ascii="Times New Roman" w:hAnsi="Times New Roman" w:cs="Times New Roman"/>
          <w:sz w:val="24"/>
          <w:szCs w:val="24"/>
        </w:rPr>
        <w:fldChar w:fldCharType="end"/>
      </w:r>
      <w:r w:rsidR="003B2B54">
        <w:rPr>
          <w:rFonts w:ascii="Times New Roman" w:hAnsi="Times New Roman" w:cs="Times New Roman"/>
          <w:sz w:val="24"/>
          <w:szCs w:val="24"/>
        </w:rPr>
        <w:t xml:space="preserve">.  Distribution shifts are increasingly identified from multiple data sets using species distribution/density models (SDMs) fitted to occurrence, count, or biomass-sampling data </w:t>
      </w:r>
      <w:r w:rsidR="003B2B54">
        <w:rPr>
          <w:rFonts w:ascii="Times New Roman" w:hAnsi="Times New Roman" w:cs="Times New Roman"/>
          <w:sz w:val="24"/>
          <w:szCs w:val="24"/>
        </w:rPr>
        <w:fldChar w:fldCharType="begin"/>
      </w:r>
      <w:r w:rsidR="003B2B54">
        <w:rPr>
          <w:rFonts w:ascii="Times New Roman" w:hAnsi="Times New Roman" w:cs="Times New Roman"/>
          <w:sz w:val="24"/>
          <w:szCs w:val="24"/>
        </w:rPr>
        <w:instrText xml:space="preserve"> ADDIN ZOTERO_ITEM CSL_CITATION {"citationID":"EJlazuSM","properties":{"formattedCitation":"(e.g., Dolder et al., 2018)","plainCitation":"(e.g., Dolder et al., 2018)","noteIndex":0},"citationItems":[{"id":4881,"uris":["http://zotero.org/users/251206/items/SK84ZFTS"],"uri":["http://zotero.org/users/251206/items/SK84ZFTS"],"itemData":{"id":4881,"type":"article-journal","title":"Spatial separation of catches in highly mixed fisheries","container-title":"Scientific Reports","page":"13886","volume":"8","issue":"1","source":"www.nature.com","abstract":"Mixed fisheries are the dominant type of fishery worldwide. Overexploitation in mixed fisheries occurs when catches continue for available quota species while low quota species are discarded. As EU fisheries management moves to count all fish caught against quota (the “landing obligation”), the challenge is to catch available quota within new constraints, else lose productivity. A mechanism for decoupling exploitation of species caught together is spatial targeting, which remains challenging due to complex fishery and population dynamics. How far spatial targeting can go to practically separate species is often unknown and anecdotal. We develop a dimension-reduction framework based on joint dynamic species distribution modelling to understand how spatial community and fishery dynamics interact to determine species and size composition. In application to the highly mixed fisheries of the Celtic Sea, clear common spatial patterns emerge for three distinct assemblages. While distribution varies interannually, the same species are consistently found in higher densities together, with more subtle differences within assemblages, where spatial separation may not be practically possible. We highlight the importance of dimension reduction techniques to focus management discussion on axes of maximal separation and identify spatiotemporal modelling as a scientific necessity to address the challenges of managing mixed fisheries.","DOI":"10.1038/s41598-018-31881-w","ISSN":"2045-2322","language":"En","author":[{"family":"Dolder","given":"Paul J."},{"family":"Thorson","given":"James T."},{"family":"Minto","given":"Cóilín"}],"issued":{"date-parts":[["2018",9,17]]}},"prefix":"e.g., "}],"schema":"https://github.com/citation-style-language/schema/raw/master/csl-citation.json"} </w:instrText>
      </w:r>
      <w:r w:rsidR="003B2B54">
        <w:rPr>
          <w:rFonts w:ascii="Times New Roman" w:hAnsi="Times New Roman" w:cs="Times New Roman"/>
          <w:sz w:val="24"/>
          <w:szCs w:val="24"/>
        </w:rPr>
        <w:fldChar w:fldCharType="separate"/>
      </w:r>
      <w:r w:rsidR="003B2B54" w:rsidRPr="003B2B54">
        <w:rPr>
          <w:rFonts w:ascii="Times New Roman" w:hAnsi="Times New Roman" w:cs="Times New Roman"/>
          <w:sz w:val="24"/>
        </w:rPr>
        <w:t>(e.g., Dolder et al., 2018)</w:t>
      </w:r>
      <w:r w:rsidR="003B2B54">
        <w:rPr>
          <w:rFonts w:ascii="Times New Roman" w:hAnsi="Times New Roman" w:cs="Times New Roman"/>
          <w:sz w:val="24"/>
          <w:szCs w:val="24"/>
        </w:rPr>
        <w:fldChar w:fldCharType="end"/>
      </w:r>
      <w:r w:rsidR="003B2B54">
        <w:rPr>
          <w:rFonts w:ascii="Times New Roman" w:hAnsi="Times New Roman" w:cs="Times New Roman"/>
          <w:sz w:val="24"/>
          <w:szCs w:val="24"/>
        </w:rPr>
        <w:t xml:space="preserve">.  SDMs </w:t>
      </w:r>
      <w:r>
        <w:rPr>
          <w:rFonts w:ascii="Times New Roman" w:hAnsi="Times New Roman" w:cs="Times New Roman"/>
          <w:sz w:val="24"/>
          <w:szCs w:val="24"/>
        </w:rPr>
        <w:t xml:space="preserve">have been used extensively in ecology, oceanography, and fisheries science to describe the spatial distribution and ecological niche of </w:t>
      </w:r>
      <w:r w:rsidR="00320445">
        <w:rPr>
          <w:rFonts w:ascii="Times New Roman" w:hAnsi="Times New Roman" w:cs="Times New Roman"/>
          <w:sz w:val="24"/>
          <w:szCs w:val="24"/>
        </w:rPr>
        <w:t xml:space="preserve">marine and terrestrial </w:t>
      </w:r>
      <w:r>
        <w:rPr>
          <w:rFonts w:ascii="Times New Roman" w:hAnsi="Times New Roman" w:cs="Times New Roman"/>
          <w:sz w:val="24"/>
          <w:szCs w:val="24"/>
        </w:rPr>
        <w:t xml:space="preserve">species worldwide.  Interest in SDMs has increased as researchers have sought to train </w:t>
      </w:r>
      <w:r w:rsidR="00F61389">
        <w:rPr>
          <w:rFonts w:ascii="Times New Roman" w:hAnsi="Times New Roman" w:cs="Times New Roman"/>
          <w:sz w:val="24"/>
          <w:szCs w:val="24"/>
        </w:rPr>
        <w:t xml:space="preserve">them </w:t>
      </w:r>
      <w:r>
        <w:rPr>
          <w:rFonts w:ascii="Times New Roman" w:hAnsi="Times New Roman" w:cs="Times New Roman"/>
          <w:sz w:val="24"/>
          <w:szCs w:val="24"/>
        </w:rPr>
        <w:t>using historical and contemporary data and then forecast changes in spatial distribution under alternative climate scenarios</w:t>
      </w:r>
      <w:r w:rsidR="007849F9">
        <w:rPr>
          <w:rFonts w:ascii="Times New Roman" w:hAnsi="Times New Roman" w:cs="Times New Roman"/>
          <w:sz w:val="24"/>
          <w:szCs w:val="24"/>
        </w:rPr>
        <w:t xml:space="preserve"> </w:t>
      </w:r>
      <w:r w:rsidR="007849F9">
        <w:rPr>
          <w:rFonts w:ascii="Times New Roman" w:hAnsi="Times New Roman" w:cs="Times New Roman"/>
          <w:sz w:val="24"/>
          <w:szCs w:val="24"/>
        </w:rPr>
        <w:fldChar w:fldCharType="begin"/>
      </w:r>
      <w:r w:rsidR="007849F9">
        <w:rPr>
          <w:rFonts w:ascii="Times New Roman" w:hAnsi="Times New Roman" w:cs="Times New Roman"/>
          <w:sz w:val="24"/>
          <w:szCs w:val="24"/>
        </w:rPr>
        <w:instrText xml:space="preserve"> ADDIN ZOTERO_ITEM CSL_CITATION {"citationID":"UAGK2T9O","properties":{"formattedCitation":"(Ara\\uc0\\u250{}jo and New, 2007)","plainCitation":"(Araújo and New, 2007)","noteIndex":0},"citationItems":[{"id":5098,"uris":["http://zotero.org/users/251206/items/NH8BFDA8"],"uri":["http://zotero.org/users/251206/items/NH8BFDA8"],"itemData":{"id":5098,"type":"article-journal","title":"Ensemble forecasting of species distributions","container-title":"Trends in Ecology &amp; Evolution","page":"42-47","volume":"22","issue":"1","source":"ScienceDirect","abstract":"Concern over implications of climate change for biodiversity has led to the use of bioclimatic models to forecast the range shifts of species under future climate-change scenarios. Recent studies have demonstrated that projections by alternative models can be so variable as to compromise their usefulness for guiding policy decisions. Here, we advocate the use of multiple models within an ensemble forecasting framework and describe alternative approaches to the analysis of bioclimatic ensembles, including bounding box, consensus and probabilistic techniques. We argue that, although improved accuracy can be delivered through the traditional tasks of trying to build better models with improved data, more robust forecasts can also be achieved if ensemble forecasts are produced and analysed appropriately.","DOI":"10.1016/j.tree.2006.09.010","ISSN":"0169-5347","journalAbbreviation":"Trends in Ecology &amp; Evolution","author":[{"family":"Araújo","given":"Miguel B."},{"family":"New","given":"Mark"}],"issued":{"date-parts":[["2007",1,1]]}}}],"schema":"https://github.com/citation-style-language/schema/raw/master/csl-citation.json"} </w:instrText>
      </w:r>
      <w:r w:rsidR="007849F9">
        <w:rPr>
          <w:rFonts w:ascii="Times New Roman" w:hAnsi="Times New Roman" w:cs="Times New Roman"/>
          <w:sz w:val="24"/>
          <w:szCs w:val="24"/>
        </w:rPr>
        <w:fldChar w:fldCharType="separate"/>
      </w:r>
      <w:r w:rsidR="007849F9" w:rsidRPr="007849F9">
        <w:rPr>
          <w:rFonts w:ascii="Times New Roman" w:hAnsi="Times New Roman" w:cs="Times New Roman"/>
          <w:sz w:val="24"/>
          <w:szCs w:val="24"/>
        </w:rPr>
        <w:t>(Araújo and New, 2007)</w:t>
      </w:r>
      <w:r w:rsidR="007849F9">
        <w:rPr>
          <w:rFonts w:ascii="Times New Roman" w:hAnsi="Times New Roman" w:cs="Times New Roman"/>
          <w:sz w:val="24"/>
          <w:szCs w:val="24"/>
        </w:rPr>
        <w:fldChar w:fldCharType="end"/>
      </w:r>
      <w:r>
        <w:rPr>
          <w:rFonts w:ascii="Times New Roman" w:hAnsi="Times New Roman" w:cs="Times New Roman"/>
          <w:sz w:val="24"/>
          <w:szCs w:val="24"/>
        </w:rPr>
        <w:t>.  SDMs have been built to predict local density using local environmental conditions and/or via the interaction of annual covariates and spatial coordinates</w:t>
      </w:r>
      <w:r w:rsidR="00327A28">
        <w:rPr>
          <w:rFonts w:ascii="Times New Roman" w:hAnsi="Times New Roman" w:cs="Times New Roman"/>
          <w:sz w:val="24"/>
          <w:szCs w:val="24"/>
        </w:rPr>
        <w:t xml:space="preserve">, and size- or age-structured SDMs have also been used to </w:t>
      </w:r>
      <w:r w:rsidR="00327A28">
        <w:rPr>
          <w:rFonts w:ascii="Times New Roman" w:hAnsi="Times New Roman" w:cs="Times New Roman"/>
          <w:sz w:val="24"/>
          <w:szCs w:val="24"/>
        </w:rPr>
        <w:lastRenderedPageBreak/>
        <w:t>account for size-based</w:t>
      </w:r>
      <w:r w:rsidR="00C06B56">
        <w:rPr>
          <w:rFonts w:ascii="Times New Roman" w:hAnsi="Times New Roman" w:cs="Times New Roman"/>
          <w:sz w:val="24"/>
          <w:szCs w:val="24"/>
        </w:rPr>
        <w:t xml:space="preserve"> processes affecting distribution shifts </w:t>
      </w:r>
      <w:r w:rsidR="00C06B56">
        <w:rPr>
          <w:rFonts w:ascii="Times New Roman" w:hAnsi="Times New Roman" w:cs="Times New Roman"/>
          <w:sz w:val="24"/>
          <w:szCs w:val="24"/>
        </w:rPr>
        <w:fldChar w:fldCharType="begin"/>
      </w:r>
      <w:r w:rsidR="00C06B56">
        <w:rPr>
          <w:rFonts w:ascii="Times New Roman" w:hAnsi="Times New Roman" w:cs="Times New Roman"/>
          <w:sz w:val="24"/>
          <w:szCs w:val="24"/>
        </w:rPr>
        <w:instrText xml:space="preserve"> ADDIN ZOTERO_ITEM CSL_CITATION {"citationID":"SziSo6mK","properties":{"unsorted":true,"formattedCitation":"(Kristensen et al., 2014; Thorson et al., 2015; Kai et al., 2017)","plainCitation":"(Kristensen et al., 2014; Thorson et al., 2015; Kai et al., 2017)","noteIndex":0},"citationItems":[{"id":1525,"uris":["http://zotero.org/users/251206/items/83WJVIK3"],"uri":["http://zotero.org/users/251206/items/83WJVIK3"],"itemData":{"id":1525,"type":"article-journal","title":"Estimating spatio-temporal dynamics of size-structured populations","container-title":"Canadian Journal of Fisheries and Aquatic Sciences","page":"326-336","volume":"71","issue":"2","source":"NRC Research Press","abstract":"Spatial distributions of structured populations are usually estimated by fitting abundance surfaces for each stage and at each point of time separately, ignoring correlations that emerge from growth of individuals. Here, we present a statistical model that combines spatio-temporal correlations with simple stock dynamics to estimate simultaneously how size distributions and spatial distributions develop in time. We demonstrate the method for a cod (Gadus morhua) population sampled by trawl surveys. Particular attention is paid to correlation between size classes within each trawl haul due to clustering of individuals with similar size. The model estimates growth, mortality, and reproduction, after which any aspect of size structure, spatio-temporal population dynamics, as well as the sampling process can be probed. This is illustrated by two applications: (i) tracking the spatial movements of a single cohort through time and (ii) predicting the risk of bycatch of undersized individuals. The method demonstr..., Les répartitions dans l’espace de populations structurées sont généralement estimées en ajustant des surfaces d’abondance pour chaque stade et chaque point dans le temps séparément, en ne tenant pas compte des corrélations qui résultent de la croissance des individus. Nous présentons un modèle statistique qui combine les corrélations spatiotemporelles avec une dynamique des stocks simple afin d’estimer simultanément l’évolution des distributions de tailles et des répartitions spatiales dans le temps. Nous démontrons l’utilité de la méthode pour une population de morues (Gadus morhua) échantillonnée dans le cadre de relevés au chalut. Une attention particulière est portée à la corrélation entre les catégories de tailles dans chaque prise au chalut découlant du regroupement d’individus de tailles semblables. Le modèle estime la croissance, la mortalité et la reproduction, après quoi tout aspect de la structure de tailles, de la dynamique spatiotemporelle des populations, ainsi que du processus d’échantillon...","DOI":"10.1139/cjfas-2013-0151","ISSN":"0706-652X","journalAbbreviation":"Can. J. Fish. Aquat. Sci.","author":[{"family":"Kristensen","given":"Kasper"},{"family":"Thygesen","given":"Uffe Høgsbro"},{"family":"Andersen","given":"Ken Haste"},{"family":"Beyer","given":"Jan E."}],"issued":{"date-parts":[["2014"]]}}},{"id":1686,"uris":["http://zotero.org/users/251206/items/3MS8CGVR"],"uri":["http://zotero.org/users/251206/items/3MS8CGVR"],"itemData":{"id":1686,"type":"article-journal","title":"Spatial delay-difference models for estimating spatiotemporal variation in juvenile production and population abundance","container-title":"Canadian Journal of Fisheries and Aquatic Sciences","page":"1897-1915","volume":"72","issue":"12","source":"NRC Research Press","abstract":"Many important ecological questions require accounting for spatial variation in demographic rates (e.g., survival) and population variables (e.g., abundance per unit area). However, ecologists have few spatial modelling approaches that (i) fit directly to spatially referenced data, (ii) represent population dynamics explicitly and mechanistically, and (iii) estimate parameters using rigorous statistical methods. We therefore demonstrate a new and computationally efficient approach to spatial modelling that uses random fields in place of the random variables typically used in spatially aggregated models. We adapt this approach to delay-difference dynamics to estimate the impact of fishing and natural mortality, recruitment, and individual growth on spatial population dynamics for a fish population. In particular, we develop this approach to estimate spatial variation in average production of juvenile fishes (termed recruitment), as well as annual variation in the spatial distribution of recruitment. We fir..., De nombreuses questions écologiques importantes nécessitent la prise en considération des variations spatiales de taux démographiques (p. ex. de survie) et de variables relatives à la population (p. ex. l’abondance par unité de surface). Les écologistes disposent toutefois de peu d’approches de modélisation spatiale qui (i) peuvent être calées directement sur des données référencées dans l’espace, (ii) représentent de manière explicite et mécaniste la dynamique des populations et (iii) emploient des méthodes statistiques rigoureuses pour l’estimation de paramètres. Nous présentons donc une nouvelle approche de modélisation spatiale efficace sur le plan computationnel qui fait appel à des champs aléatoires plutôt qu’aux variables aléatoires normalement utilisées dans les modèles regroupés spatialement. Nous adaptons cette approche à la dynamique à différences retardées pour estimer l’incidence de la mortalité naturelle et par pêche, du recrutement et de la croissance individuelle sur la dynamique spatiale ...","DOI":"10.1139/cjfas-2014-0543","ISSN":"0706-652X","journalAbbreviation":"Can. J. Fish. Aquat. Sci.","author":[{"family":"Thorson","given":""},{"family":"Ianelli","given":"James N."},{"family":"Munch","given":"Stephan B."},{"family":"Ono","given":"Kotaro"},{"family":"Spencer","given":"Paul D."}],"issued":{"date-parts":[["2015",6,23]]}}},{"id":2121,"uris":["http://zotero.org/users/251206/items/CAHEZHU8"],"uri":["http://zotero.org/users/251206/items/CAHEZHU8"],"itemData":{"id":2121,"type":"article-journal","title":"Spatio-temporal variation in size-structured populations using fishery data: an application to shortfin mako (Isurus oxyrinchus) in the Pacific Ocean","container-title":"Canadian Journal of Fisheries and Aquatic Sciences","source":"NRC Research Press","abstract":"We develop a length-disaggregated spatio-temporal delta-generalized linear mixed model (GLMM) and apply the method to fishery-dependent catch rates of shortfin mako sharks in the North Pacific. The spatio-temporal model may provide an improvement over conventional time-series and spatially stratified models by yielding more precise and biologically interpretable estimates of abundance. Including length data may provide additional information to better understand life history and habitat partitioning for marine species. Nominal catch rates were standardized using a GLMM framework with spatio-temporal and length composition data. The best fitting model showed that most hotspots for “Immature” shortfin mako occurred in the coastal waters of Japan, while hotspots for “Subadult and adult” occurred in the offshore or coastal waters of Japan. We also found that size specific catch rates provide an indication that there has been a recent increasing trend in stock abundance since 2008.","URL":"http://www.nrcresearchpress.com/doi/abs/10.1139/cjfas-2016-0327","DOI":"10.1139/cjfas-2016-0327","ISSN":"0706-652X","shortTitle":"Spatio-temporal variation in size-structured populations using fishery data","journalAbbreviation":"Can. J. Fish. Aquat. Sci.","author":[{"family":"Kai","given":"Mikihiko"},{"family":"Thorson","given":"James T."},{"family":"Piner","given":"Kevin R"},{"family":"Maunder","given":"Mark N"}],"issued":{"date-parts":[["2017",1,23]]},"accessed":{"date-parts":[["2017",4,12]]}}}],"schema":"https://github.com/citation-style-language/schema/raw/master/csl-citation.json"} </w:instrText>
      </w:r>
      <w:r w:rsidR="00C06B56">
        <w:rPr>
          <w:rFonts w:ascii="Times New Roman" w:hAnsi="Times New Roman" w:cs="Times New Roman"/>
          <w:sz w:val="24"/>
          <w:szCs w:val="24"/>
        </w:rPr>
        <w:fldChar w:fldCharType="separate"/>
      </w:r>
      <w:r w:rsidR="00C06B56" w:rsidRPr="00C06B56">
        <w:rPr>
          <w:rFonts w:ascii="Times New Roman" w:hAnsi="Times New Roman" w:cs="Times New Roman"/>
          <w:sz w:val="24"/>
        </w:rPr>
        <w:t>(Kristensen et al., 2014; Thorson et al., 2015; Kai et al., 2017)</w:t>
      </w:r>
      <w:r w:rsidR="00C06B56">
        <w:rPr>
          <w:rFonts w:ascii="Times New Roman" w:hAnsi="Times New Roman" w:cs="Times New Roman"/>
          <w:sz w:val="24"/>
          <w:szCs w:val="24"/>
        </w:rPr>
        <w:fldChar w:fldCharType="end"/>
      </w:r>
      <w:r w:rsidR="00327A28">
        <w:rPr>
          <w:rFonts w:ascii="Times New Roman" w:hAnsi="Times New Roman" w:cs="Times New Roman"/>
          <w:sz w:val="24"/>
          <w:szCs w:val="24"/>
        </w:rPr>
        <w:t xml:space="preserve">.  </w:t>
      </w:r>
    </w:p>
    <w:p w14:paraId="3B557B91" w14:textId="10DFC99C" w:rsidR="005F769E" w:rsidRDefault="00327A28"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t>However, studies examining forecasted distribution shifts that are compared with subsequent observations have shown that forecast skill is sometimes poor using the current generation of SDMs that are fitted to local</w:t>
      </w:r>
      <w:r w:rsidR="00C06B56">
        <w:rPr>
          <w:rFonts w:ascii="Times New Roman" w:hAnsi="Times New Roman" w:cs="Times New Roman"/>
          <w:sz w:val="24"/>
          <w:szCs w:val="24"/>
        </w:rPr>
        <w:t>ized</w:t>
      </w:r>
      <w:r>
        <w:rPr>
          <w:rFonts w:ascii="Times New Roman" w:hAnsi="Times New Roman" w:cs="Times New Roman"/>
          <w:sz w:val="24"/>
          <w:szCs w:val="24"/>
        </w:rPr>
        <w:t xml:space="preserve"> effects of environmental conditions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{"citationID":"dhF934g8","properties":{"formattedCitation":"(Thorson, 2019a)","plainCitation":"(Thorson, 2019a)","noteIndex":0},"citationItems":[{"id":4858,"uris":["http://zotero.org/users/251206/items/52KP3YUU"],"uri":["http://zotero.org/users/251206/items/52KP3YUU"],"itemData":{"id":4858,"type":"article-journal","title":"Forecast skill for predicting distribution shifts: A retrospective experiment for marine fishes in the Eastern Bering Sea","container-title":"Fish and Fisheries","page":"159-173","volume":"20","issue":"1","source":"Wiley Online Library","abstract":"Forecasting distribution shifts under novel environmental conditions is a major task for ecologists and conservationists. Researchers forecast distribution shifts using several tools including: predicting from an empirical relationship between a summary of distribution (population centroid) and annual time series (“annual regression,” AR); or fitting a habitat-envelope model to historical distribution and forecasting given predictions of future environmental conditions (“habitat envelope,” HE). However, surprisingly little research has estimated forecast skill by fitting to historical data, forecasting distribution shifts and comparing forecasts with subsequent observations of distribution shifts. I demonstrate the important role of retrospective skill testing by forecasting poleward movement over 1-, 2- or 3-year periods for 20 fish and crab species in the Eastern Bering Sea and comparing forecasts with observed shifts. I specifically introduce an alternative vector-autoregressive spatio-temporal (VAST) forecasting model, which can include species temperature responses, and compare skill for AR, HE and VAST forecasts. Results show that the HE forecast has 30%–43% greater variance than predicting that future distribution is identical to the estimated distribution in the final year (a “persistence” forecast). Meanwhile, the AR explains 2%–6% and VAST explains 8%–25% of variance in poleward movement, and both have better performance than a persistence forecast. HE and AR both generate forecast intervals that are too narrow, while VAST models with or without temperature have appropriate width for forecast intervals. Retrospective skill testing for more regions and taxa should be used as a test bed to guide future improvements in methods for forecasting distribution shifts.","DOI":"10.1111/faf.12330","ISSN":"1467-2979","shortTitle":"Forecast skill for predicting distribution shifts","language":"en","author":[{"family":"Thorson","given":"James T."}],"issued":{"date-parts":[["2019"]]}}}],"schema":"https://github.com/citation-style-language/schema/raw/master/csl-citation.json"} </w:instrText>
      </w:r>
      <w:r>
        <w:rPr>
          <w:rFonts w:ascii="Times New Roman" w:hAnsi="Times New Roman" w:cs="Times New Roman"/>
          <w:sz w:val="24"/>
          <w:szCs w:val="24"/>
        </w:rPr>
        <w:fldChar w:fldCharType="separate"/>
      </w:r>
      <w:r w:rsidRPr="005712E0">
        <w:rPr>
          <w:rFonts w:ascii="Times New Roman" w:hAnsi="Times New Roman" w:cs="Times New Roman"/>
          <w:sz w:val="24"/>
        </w:rPr>
        <w:t>(Thorson, 2019a)</w:t>
      </w:r>
      <w:r>
        <w:rPr>
          <w:rFonts w:ascii="Times New Roman" w:hAnsi="Times New Roman" w:cs="Times New Roman"/>
          <w:sz w:val="24"/>
          <w:szCs w:val="24"/>
        </w:rPr>
        <w:fldChar w:fldCharType="end"/>
      </w:r>
      <w:r>
        <w:rPr>
          <w:rFonts w:ascii="Times New Roman" w:hAnsi="Times New Roman" w:cs="Times New Roman"/>
          <w:sz w:val="24"/>
          <w:szCs w:val="24"/>
        </w:rPr>
        <w:t>.  For example, ontogen</w:t>
      </w:r>
      <w:r w:rsidR="00AC110D">
        <w:rPr>
          <w:rFonts w:ascii="Times New Roman" w:hAnsi="Times New Roman" w:cs="Times New Roman"/>
          <w:sz w:val="24"/>
          <w:szCs w:val="24"/>
        </w:rPr>
        <w:t>et</w:t>
      </w:r>
      <w:r>
        <w:rPr>
          <w:rFonts w:ascii="Times New Roman" w:hAnsi="Times New Roman" w:cs="Times New Roman"/>
          <w:sz w:val="24"/>
          <w:szCs w:val="24"/>
        </w:rPr>
        <w:t xml:space="preserve">ic habitat preferences combined with changes in size/age-structure has been hypothesized to drive observed distribution shifts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{"citationID":"PonMCY3Y","properties":{"formattedCitation":"(Barbeaux and Hollowed, 2018)","plainCitation":"(Barbeaux and Hollowed, 2018)","noteIndex":0},"citationItems":[{"id":4450,"uris":["http://zotero.org/users/251206/items/FTCAWT52"],"uri":["http://zotero.org/users/251206/items/FTCAWT52"],"itemData":{"id":4450,"type":"article-journal","title":"Ontogeny matters: Climate variability and effects on fish distribution in the eastern Bering Sea","container-title":"Fisheries Oceanography","page":"1-15","volume":"27","issue":"1","source":"Wiley Online Library","abstract":"Analyses of climate effects often ignore differences in life history for individual species. We analyzed a 34-year time series of eastern Bering Sea fish surveys to evaluate changes in distribution by length and between cold and warm shelf-wide average water temperatures for 20 species over inhabited depth, temperature, and location. All species showed evidence of ontogenetic migration. Differences in distribution between years with warm and years with cold shelf-wide water temperatures varied among species and within species at different lengths. For species where shelf-wide temperature effects were detected, the mid-sized fish were most active in changing spatial distribution. For aquatic organisms ontogenetic migration occurs because life history stages have different environmental requirements. This study illustrates the need to consider species responses to climate change over different life history stages, and that studies on ecosystem responses should take ontogenetic differences into consideration when assessing impacts.","DOI":"10.1111/fog.12229","ISSN":"1365-2419","shortTitle":"Ontogeny matters","journalAbbreviation":"Fish Oceanogr","language":"en","author":[{"family":"Barbeaux","given":"Steven J."},{"family":"Hollowed","given":"Anne B."}],"issued":{"date-parts":[["2018",1,1]]}}}],"schema":"https://github.com/citation-style-language/schema/raw/master/csl-citation.json"} </w:instrText>
      </w:r>
      <w:r>
        <w:rPr>
          <w:rFonts w:ascii="Times New Roman" w:hAnsi="Times New Roman" w:cs="Times New Roman"/>
          <w:sz w:val="24"/>
          <w:szCs w:val="24"/>
        </w:rPr>
        <w:fldChar w:fldCharType="separate"/>
      </w:r>
      <w:r w:rsidRPr="00327A28">
        <w:rPr>
          <w:rFonts w:ascii="Times New Roman" w:hAnsi="Times New Roman" w:cs="Times New Roman"/>
          <w:sz w:val="24"/>
        </w:rPr>
        <w:t>(Barbeaux and Hollowed, 2018)</w:t>
      </w:r>
      <w:r>
        <w:rPr>
          <w:rFonts w:ascii="Times New Roman" w:hAnsi="Times New Roman" w:cs="Times New Roman"/>
          <w:sz w:val="24"/>
          <w:szCs w:val="24"/>
        </w:rPr>
        <w:fldChar w:fldCharType="end"/>
      </w:r>
      <w:r>
        <w:rPr>
          <w:rFonts w:ascii="Times New Roman" w:hAnsi="Times New Roman" w:cs="Times New Roman"/>
          <w:sz w:val="24"/>
          <w:szCs w:val="24"/>
        </w:rPr>
        <w:t xml:space="preserve">, but this has not been successful at explaining a large portion of historical distribution shifts for </w:t>
      </w:r>
      <w:r>
        <w:rPr>
          <w:rFonts w:ascii="Times New Roman" w:hAnsi="Times New Roman" w:cs="Times New Roman"/>
          <w:i/>
          <w:sz w:val="24"/>
          <w:szCs w:val="24"/>
        </w:rPr>
        <w:t>Gadus chalcogrammus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{"citationID":"gG266EAu","properties":{"formattedCitation":"(Thorson et al., 2017)","plainCitation":"(Thorson et al., 2017)","noteIndex":0},"citationItems":[{"id":4852,"uris":["http://zotero.org/users/251206/items/SK5YX9CD"],"uri":["http://zotero.org/users/251206/items/SK5YX9CD"],"itemData":{"id":4852,"type":"article-journal","title":"The relative influence of temperature and size-structure on fish distribution shifts: A case-study on Walleye pollock in the Bering Sea","container-title":"Fish and Fisheries","page":"1073-1084","volume":"18","issue":"6","source":"Wiley Online Library","abstract":"Research has estimated associations between water temperature and the spatial distribution of marine fishes based upon correlations between temperature and the centroid of fish distribution (centre of gravity, COG). Analysts have then projected future water temperatures to forecast shifts in COG, but often neglected to demonstrate that temperature explains a substantial portion of historical distribution shifts. We argue that estimating the proportion of observed distributional shifts that can be attributed to temperature vs. other factors is a critical first step in forecasting future changes. We illustrate this approach using Gadus chalcogrammus (Walleye pollock) in the Eastern Bering Sea, and use a vector-autoregressive spatiotemporal model to attribute variation in COG from 1982 to 2015 to three factors: local or regional changes in surface and bottom temperature (“temperature effects”), fluctuations in size-structure that cause COG to be skewed towards juvenile or adult habitats (“size-structured effects”) or otherwise unexplained spatiotemporal variation in distribution (“unexplained effects”). We find that the majority of variation in COG (including the north-west trend since 1982) is largely unexplained by temperature or size-structured effects. Temperature alone generates a small portion of primarily north–south variation in COG, while size-structured effects generate a small portion of east–west variation. We therefore conclude that projections of future distribution based on temperature alone are likely to miss a substantial portion of both the interannual variation and interdecadal trends in COG for this species. More generally, we suggest that decomposing variation in COG into multiple causal factors is a vital first step for projecting likely impacts of temperature change.","DOI":"10.1111/faf.12225","ISSN":"1467-2979","shortTitle":"The relative influence of temperature and size-structure on fish distribution shifts","language":"en","author":[{"family":"Thorson","given":"James T."},{"family":"Ianelli","given":"James N."},{"family":"Kotwicki","given":"Stan"}],"issued":{"date-parts":[["2017",11,1]]}}}],"schema":"https://github.com/citation-style-language/schema/raw/master/csl-citation.json"} </w:instrText>
      </w:r>
      <w:r>
        <w:rPr>
          <w:rFonts w:ascii="Times New Roman" w:hAnsi="Times New Roman" w:cs="Times New Roman"/>
          <w:sz w:val="24"/>
          <w:szCs w:val="24"/>
        </w:rPr>
        <w:fldChar w:fldCharType="separate"/>
      </w:r>
      <w:r w:rsidRPr="00FE6353">
        <w:rPr>
          <w:rFonts w:ascii="Times New Roman" w:hAnsi="Times New Roman" w:cs="Times New Roman"/>
          <w:sz w:val="24"/>
        </w:rPr>
        <w:t>(Thorson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or </w:t>
      </w:r>
      <w:r w:rsidRPr="00FE6353">
        <w:rPr>
          <w:rFonts w:ascii="Times New Roman" w:hAnsi="Times New Roman" w:cs="Times New Roman"/>
          <w:i/>
          <w:sz w:val="24"/>
          <w:szCs w:val="24"/>
        </w:rPr>
        <w:t>Paralichthys dentatus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{"citationID":"LNqNZyhR","properties":{"formattedCitation":"(Perretti and Thorson, In review)","plainCitation":"(Perretti and Thorson, In review)","noteIndex":0},"citationItems":[{"id":4996,"uris":["http://zotero.org/users/251206/items/QRJYFIRD"],"uri":["http://zotero.org/users/251206/items/QRJYFIRD"],"itemData":{"id":4996,"type":"article-journal","title":"Spatio-temporal dynamics of  summer flounder (Paralichthys dentatus) on the Northeast U.S. Shelf","author":[{"family":"Perretti","given":"Charles T."},{"family":"Thorson","given":"James T."}],"issued":{"literal":"In review"}}}],"schema":"https://github.com/citation-style-language/schema/raw/master/csl-citation.json"} </w:instrText>
      </w:r>
      <w:r>
        <w:rPr>
          <w:rFonts w:ascii="Times New Roman" w:hAnsi="Times New Roman" w:cs="Times New Roman"/>
          <w:sz w:val="24"/>
          <w:szCs w:val="24"/>
        </w:rPr>
        <w:fldChar w:fldCharType="separate"/>
      </w:r>
      <w:r w:rsidRPr="00FE6353">
        <w:rPr>
          <w:rFonts w:ascii="Times New Roman" w:hAnsi="Times New Roman" w:cs="Times New Roman"/>
          <w:sz w:val="24"/>
        </w:rPr>
        <w:t>(Perretti and Thorson, In review)</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B667C">
        <w:rPr>
          <w:rFonts w:ascii="Times New Roman" w:hAnsi="Times New Roman" w:cs="Times New Roman"/>
          <w:sz w:val="24"/>
          <w:szCs w:val="24"/>
        </w:rPr>
        <w:t xml:space="preserve">This poor skill </w:t>
      </w:r>
      <w:r w:rsidR="00D66CEF">
        <w:rPr>
          <w:rFonts w:ascii="Times New Roman" w:hAnsi="Times New Roman" w:cs="Times New Roman"/>
          <w:sz w:val="24"/>
          <w:szCs w:val="24"/>
        </w:rPr>
        <w:t xml:space="preserve">would arise if species distributions are by more than local environmental conditions, e.g., due to impacts of local predator densities, lagged environmental effects, or geographically distant environmental conditions that affect the preference of mobile species for local conditions.  </w:t>
      </w:r>
      <w:r>
        <w:rPr>
          <w:rFonts w:ascii="Times New Roman" w:hAnsi="Times New Roman" w:cs="Times New Roman"/>
          <w:sz w:val="24"/>
          <w:szCs w:val="24"/>
        </w:rPr>
        <w:t xml:space="preserve">There is therefore an ongoing need to identify </w:t>
      </w:r>
      <w:r w:rsidR="005F769E">
        <w:rPr>
          <w:rFonts w:ascii="Times New Roman" w:hAnsi="Times New Roman" w:cs="Times New Roman"/>
          <w:sz w:val="24"/>
          <w:szCs w:val="24"/>
        </w:rPr>
        <w:t xml:space="preserve">improved </w:t>
      </w:r>
      <w:r>
        <w:rPr>
          <w:rFonts w:ascii="Times New Roman" w:hAnsi="Times New Roman" w:cs="Times New Roman"/>
          <w:sz w:val="24"/>
          <w:szCs w:val="24"/>
        </w:rPr>
        <w:t xml:space="preserve">techniques to </w:t>
      </w:r>
      <w:r w:rsidR="005F769E">
        <w:rPr>
          <w:rFonts w:ascii="Times New Roman" w:hAnsi="Times New Roman" w:cs="Times New Roman"/>
          <w:sz w:val="24"/>
          <w:szCs w:val="24"/>
        </w:rPr>
        <w:t xml:space="preserve">forecast distribution shifts.  </w:t>
      </w:r>
    </w:p>
    <w:p w14:paraId="29905A37" w14:textId="468F6DB6" w:rsidR="005F769E" w:rsidRDefault="005F769E"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327A28">
        <w:rPr>
          <w:rFonts w:ascii="Times New Roman" w:hAnsi="Times New Roman" w:cs="Times New Roman"/>
          <w:sz w:val="24"/>
          <w:szCs w:val="24"/>
        </w:rPr>
        <w:t xml:space="preserve">In particular, multi-decadal shifts in distribution are typically forecasted by fitting to local environmental conditions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{"citationID":"l7FUtx8l","properties":{"formattedCitation":"(Pinsky et al., 2018)","plainCitation":"(Pinsky et al., 2018)","noteIndex":0},"citationItems":[{"id":4892,"uris":["http://zotero.org/users/251206/items/QR9FRSZ9"],"uri":["http://zotero.org/users/251206/items/QR9FRSZ9"],"itemData":{"id":4892,"type":"article-journal","title":"Preparing ocean governance for species on the move","container-title":"Science","page":"1189-1191","volume":"360","issue":"6394","source":"science.sciencemag.org","abstract":"The ocean is a critical source of nutrition for billions of people, with potential to yield further food, profits, and employment in the future (1). But fisheries face a serious new challenge as climate change drives the ocean to conditions not experienced historically. Local, national, regional, and international fisheries are substantially underprepared for geographic shifts in marine animals driven by climate change over the coming decades. Fish and other animals have already shifted into new territory at a rate averaging 70 km per decade (2), and these shifts are expected to continue or accelerate (3). We show here that many species will likely shift across national and other political boundaries in the coming decades, creating the potential for conflict over newly shared resources.\nPolicy must anticipate conflict over geographic shifts\nPolicy must anticipate conflict over geographic shifts","DOI":"10.1126/science.aat2360","ISSN":"0036-8075, 1095-9203","note":"PMID: 29903965","language":"en","author":[{"family":"Pinsky","given":"Malin L."},{"family":"Reygondeau","given":"Gabriel"},{"family":"Caddell","given":"Richard"},{"family":"Palacios-Abrantes","given":"Juliano"},{"family":"Spijkers","given":"Jessica"},{"family":"Cheung","given":"William W. L."}],"issued":{"date-parts":[["2018",6,15]]}}}],"schema":"https://github.com/citation-style-language/schema/raw/master/csl-citation.json"} </w:instrText>
      </w:r>
      <w:r>
        <w:rPr>
          <w:rFonts w:ascii="Times New Roman" w:hAnsi="Times New Roman" w:cs="Times New Roman"/>
          <w:sz w:val="24"/>
          <w:szCs w:val="24"/>
        </w:rPr>
        <w:fldChar w:fldCharType="separate"/>
      </w:r>
      <w:r w:rsidRPr="005F769E">
        <w:rPr>
          <w:rFonts w:ascii="Times New Roman" w:hAnsi="Times New Roman" w:cs="Times New Roman"/>
          <w:sz w:val="24"/>
        </w:rPr>
        <w:t>(Pinsky et al., 2018)</w:t>
      </w:r>
      <w:r>
        <w:rPr>
          <w:rFonts w:ascii="Times New Roman" w:hAnsi="Times New Roman" w:cs="Times New Roman"/>
          <w:sz w:val="24"/>
          <w:szCs w:val="24"/>
        </w:rPr>
        <w:fldChar w:fldCharType="end"/>
      </w:r>
      <w:r w:rsidR="00327A28">
        <w:rPr>
          <w:rFonts w:ascii="Times New Roman" w:hAnsi="Times New Roman" w:cs="Times New Roman"/>
          <w:sz w:val="24"/>
          <w:szCs w:val="24"/>
        </w:rPr>
        <w:t xml:space="preserve">, some assumed relationship with local conditions </w:t>
      </w:r>
      <w:r w:rsidR="00327A28">
        <w:rPr>
          <w:rFonts w:ascii="Times New Roman" w:hAnsi="Times New Roman" w:cs="Times New Roman"/>
          <w:sz w:val="24"/>
          <w:szCs w:val="24"/>
        </w:rPr>
        <w:fldChar w:fldCharType="begin"/>
      </w:r>
      <w:r w:rsidR="00327A28">
        <w:rPr>
          <w:rFonts w:ascii="Times New Roman" w:hAnsi="Times New Roman" w:cs="Times New Roman"/>
          <w:sz w:val="24"/>
          <w:szCs w:val="24"/>
        </w:rPr>
        <w:instrText xml:space="preserve"> ADDIN ZOTERO_ITEM CSL_CITATION {"citationID":"q4GlPdX3","properties":{"formattedCitation":"(Cheung et al., 2008)","plainCitation":"(Cheung et al., 2008)","noteIndex":0},"citationItems":[{"id":76,"uris":["http://zotero.org/users/251206/items/HDVBNE5I"],"uri":["http://zotero.org/users/251206/items/HDVBNE5I"],"itemData":{"id":76,"type":"report","title":"Modelling present and climate-shifted distribution of marine fishes and invertebrates.","source":"open.library.ubc.ca","URL":"https://open.library.ubc.ca/cIRcle/collections/facultyresearchandpublications/52383/items/1.0074754","language":"eng","author":[{"family":"Cheung","given":"William W. L."},{"family":"Lam","given":"Vicky W. Y."},{"family":"Pauly","given":"Daniel"}],"issued":{"date-parts":[["2008"]]},"accessed":{"date-parts":[["2017",10,23]]}}}],"schema":"https://github.com/citation-style-language/schema/raw/master/csl-citation.json"} </w:instrText>
      </w:r>
      <w:r w:rsidR="00327A28">
        <w:rPr>
          <w:rFonts w:ascii="Times New Roman" w:hAnsi="Times New Roman" w:cs="Times New Roman"/>
          <w:sz w:val="24"/>
          <w:szCs w:val="24"/>
        </w:rPr>
        <w:fldChar w:fldCharType="separate"/>
      </w:r>
      <w:r w:rsidR="00327A28" w:rsidRPr="00327A28">
        <w:rPr>
          <w:rFonts w:ascii="Times New Roman" w:hAnsi="Times New Roman" w:cs="Times New Roman"/>
          <w:sz w:val="24"/>
        </w:rPr>
        <w:t>(Cheung et al., 2008)</w:t>
      </w:r>
      <w:r w:rsidR="00327A28">
        <w:rPr>
          <w:rFonts w:ascii="Times New Roman" w:hAnsi="Times New Roman" w:cs="Times New Roman"/>
          <w:sz w:val="24"/>
          <w:szCs w:val="24"/>
        </w:rPr>
        <w:fldChar w:fldCharType="end"/>
      </w:r>
      <w:r>
        <w:rPr>
          <w:rFonts w:ascii="Times New Roman" w:hAnsi="Times New Roman" w:cs="Times New Roman"/>
          <w:sz w:val="24"/>
          <w:szCs w:val="24"/>
        </w:rPr>
        <w:t xml:space="preserve">, or theoretical predictions of metabolic constraints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{"citationID":"mJzeUJB5","properties":{"formattedCitation":"(Teal et al., 2018)","plainCitation":"(Teal et al., 2018)","noteIndex":0},"citationItems":[{"id":5011,"uris":["http://zotero.org/users/251206/items/8G2TNJRP"],"uri":["http://zotero.org/users/251206/items/8G2TNJRP"],"itemData":{"id":5011,"type":"article-journal","title":"Physiology-based modelling approaches to characterize fish habitat suitability: Their usefulness and limitations - ScienceDirect","container-title":"Estunarine, Coastal and Shelf Science","page":"56-63","volume":"201","author":[{"family":"Teal","given":"Lorna"},{"family":"Marras","given":"Stefano"},{"family":"Peck","given":"Myron"},{"family":"Domenici","given":"Paolo"}],"issued":{"date-parts":[["2018"]]}}}],"schema":"https://github.com/citation-style-language/schema/raw/master/csl-citation.json"} </w:instrText>
      </w:r>
      <w:r>
        <w:rPr>
          <w:rFonts w:ascii="Times New Roman" w:hAnsi="Times New Roman" w:cs="Times New Roman"/>
          <w:sz w:val="24"/>
          <w:szCs w:val="24"/>
        </w:rPr>
        <w:fldChar w:fldCharType="separate"/>
      </w:r>
      <w:r w:rsidRPr="005F769E">
        <w:rPr>
          <w:rFonts w:ascii="Times New Roman" w:hAnsi="Times New Roman" w:cs="Times New Roman"/>
          <w:sz w:val="24"/>
        </w:rPr>
        <w:t>(Teal et al., 2018)</w:t>
      </w:r>
      <w:r>
        <w:rPr>
          <w:rFonts w:ascii="Times New Roman" w:hAnsi="Times New Roman" w:cs="Times New Roman"/>
          <w:sz w:val="24"/>
          <w:szCs w:val="24"/>
        </w:rPr>
        <w:fldChar w:fldCharType="end"/>
      </w:r>
      <w:r w:rsidR="00327A28">
        <w:rPr>
          <w:rFonts w:ascii="Times New Roman" w:hAnsi="Times New Roman" w:cs="Times New Roman"/>
          <w:sz w:val="24"/>
          <w:szCs w:val="24"/>
        </w:rPr>
        <w:t>.</w:t>
      </w:r>
      <w:r>
        <w:rPr>
          <w:rFonts w:ascii="Times New Roman" w:hAnsi="Times New Roman" w:cs="Times New Roman"/>
          <w:sz w:val="24"/>
          <w:szCs w:val="24"/>
        </w:rPr>
        <w:t xml:space="preserve">  Although these local environmental conditions may capture long-term changes in the fundamental niche, it is likely that decadal-scale oscillations in oceanographic conditions will also contribute to decadal-scale fluctuations around long-term trends.  Physical oceanographers have spent decades developing oceanographic indices that are an integrated and high-level representation of </w:t>
      </w:r>
      <w:r w:rsidR="003B0E06">
        <w:rPr>
          <w:rFonts w:ascii="Times New Roman" w:hAnsi="Times New Roman" w:cs="Times New Roman"/>
          <w:sz w:val="24"/>
          <w:szCs w:val="24"/>
        </w:rPr>
        <w:t xml:space="preserve">interannual variation in </w:t>
      </w:r>
      <w:r>
        <w:rPr>
          <w:rFonts w:ascii="Times New Roman" w:hAnsi="Times New Roman" w:cs="Times New Roman"/>
          <w:sz w:val="24"/>
          <w:szCs w:val="24"/>
        </w:rPr>
        <w:t xml:space="preserve">ocean conditions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{"citationID":"hxWgYfDU","properties":{"formattedCitation":"(Grimmer, 1963; Kidson, 1975)","plainCitation":"(Grimmer, 1963; Kidson, 1975)","noteIndex":0},"citationItems":[{"id":4867,"uris":["http://zotero.org/users/251206/items/KNQEPAD8"],"uri":["http://zotero.org/users/251206/items/KNQEPAD8"],"itemData":{"id":4867,"type":"article-journal","title":"The space-filtering of monthly surface temperature anomaly data in terms of pattern, using empirical orthogonal functions","container-title":"Quarterly Journal of the Royal Meteorological Society","page":"395-408","volume":"89","issue":"381","source":"Wiley Online Library","abstract":"In statistical long-range forecasting the large volume of data makes some form of filtering imperative both to reduce the data-handling problem and to exclude random elements which do not contribute to understanding or prediction. In this study, which is an exercise in the statistical technique of factor analysis, fields of 30-day surface temperature anomaly for the years 1881–1960 are filtered in terms of sets of patterns specific to each calendar month. These are derived empirically, and so truly reflect the characteristics of the original fields. In the resulting representation, the volume of data may be reduced to one quarter while retaining 80 per cent of the original variance, and a study of seasonal variation shows that continentality and zonal thermal advection are at all times of year the most important factors in shaping the 30-day anomaly fields.","DOI":"10.1002/qj.49708938111","ISSN":"1477-870X","language":"en","author":[{"family":"Grimmer","given":"M."}],"issued":{"date-parts":[["1963",7,1]]}}},{"id":4865,"uris":["http://zotero.org/users/251206/items/IG9ZY92L"],"uri":["http://zotero.org/users/251206/items/IG9ZY92L"],"itemData":{"id":4865,"type":"article-journal","title":"Tropical Eigenvector Analysis and the Southern Oscillation","container-title":"Monthly Weather Review","page":"187-196","volume":"103","issue":"3","source":"journals.ametsoc.org (Atypon)","abstract":"Principal component analysis of tropical surface data over the period 1951–1960 suggests the Southern Oscillation can be represented by the first components of pressure, temperature, and rainfall. The patterns obtained are generally consistent with previous definitions of the oscillation but show another center of action over northeast Brazil in phase with the Indian Ocean. This center is associated with a modulated Walker cell over Brazil and the Atlantic which appears to interact with the sea surface in a similar way to that which Bjerknes (1969) has described for the Pacific.","DOI":"10.1175/1520-0493(1975)103&lt;0187:TEAATS&gt;2.0.CO;2","ISSN":"0027-0644","journalAbbreviation":"Mon. Wea. Rev.","author":[{"family":"Kidson","given":"John W."}],"issued":{"date-parts":[["1975",3,1]]}}}],"schema":"https://github.com/citation-style-language/schema/raw/master/csl-citation.json"} </w:instrText>
      </w:r>
      <w:r>
        <w:rPr>
          <w:rFonts w:ascii="Times New Roman" w:hAnsi="Times New Roman" w:cs="Times New Roman"/>
          <w:sz w:val="24"/>
          <w:szCs w:val="24"/>
        </w:rPr>
        <w:fldChar w:fldCharType="separate"/>
      </w:r>
      <w:r w:rsidRPr="005F769E">
        <w:rPr>
          <w:rFonts w:ascii="Times New Roman" w:hAnsi="Times New Roman" w:cs="Times New Roman"/>
          <w:sz w:val="24"/>
        </w:rPr>
        <w:t>(Grimmer, 1963; Kidson, 1975)</w:t>
      </w:r>
      <w:r>
        <w:rPr>
          <w:rFonts w:ascii="Times New Roman" w:hAnsi="Times New Roman" w:cs="Times New Roman"/>
          <w:sz w:val="24"/>
          <w:szCs w:val="24"/>
        </w:rPr>
        <w:fldChar w:fldCharType="end"/>
      </w:r>
      <w:r>
        <w:rPr>
          <w:rFonts w:ascii="Times New Roman" w:hAnsi="Times New Roman" w:cs="Times New Roman"/>
          <w:sz w:val="24"/>
          <w:szCs w:val="24"/>
        </w:rPr>
        <w:t xml:space="preserve">, and fisheries scientists have shown that these oceanographic indices can be informative about spatial </w:t>
      </w:r>
      <w:r>
        <w:rPr>
          <w:rFonts w:ascii="Times New Roman" w:hAnsi="Times New Roman" w:cs="Times New Roman"/>
          <w:sz w:val="24"/>
          <w:szCs w:val="24"/>
        </w:rPr>
        <w:lastRenderedPageBreak/>
        <w:t xml:space="preserve">patterns in fish productivity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{"citationID":"WjjNITMZ","properties":{"formattedCitation":"(O\\uc0\\u8217{}Leary et al., 2018)","plainCitation":"(O’Leary et al., 2018)","noteIndex":0},"citationItems":[{"id":5008,"uris":["http://zotero.org/users/251206/items/KUURVDBY"],"uri":["http://zotero.org/users/251206/items/KUURVDBY"],"itemData":{"id":5008,"type":"article-journal","title":"Understanding historical Summer Flounder (Paralichthys dentatus) abundance patterns through the incorporation of oceanography-dependent vital rates in Bayesian hierarchical models","container-title":"Canadian Journal of Fisheries and Aquatic Sciences","source":"NRC Research Press","abstract":"Climate can impact fish population dynamics through changes in productivity and shifts in distribution, and both responses have been observed for many fish species. However, few studies have incorporated climate into population dynamics or stock assessment models. This study aimed to uncover how past variations in population vital rates and fishing pressure account for observed abundance variation in summer flounder (Paralichthys dentatus). The influences of the Gulf Stream Index, an index of climate variability in the Northwest Atlantic, on abundance were explored through natural mortality and stock-recruitment relationships in age-structured hierarchical Bayesian models. Posterior predictive loss and Deviance Information Criterion indicated that out of tested models, the best estimates of summer flounder abundances resulted from the climate-dependent natural mortality model that included log-quadratic responses to the Gulf Stream Index. This climate-linked population model demonstrates the role of clima...","URL":"http://www.nrcresearchpress.com/doi/abs/10.1139/cjfas-2018-0092","DOI":"10.1139/cjfas-2018-0092","ISSN":"0706-652X","journalAbbreviation":"Can. J. Fish. Aquat. Sci.","author":[{"family":"O'Leary","given":"Cecilia Ann"},{"family":"Miller","given":"Timothy J."},{"family":"Thorson","given":"James T"},{"family":"Nye","given":"Janet A."}],"issued":{"date-parts":[["2018",12,13]]},"accessed":{"date-parts":[["2019",1,18]]}}}],"schema":"https://github.com/citation-style-language/schema/raw/master/csl-citation.json"} </w:instrText>
      </w:r>
      <w:r>
        <w:rPr>
          <w:rFonts w:ascii="Times New Roman" w:hAnsi="Times New Roman" w:cs="Times New Roman"/>
          <w:sz w:val="24"/>
          <w:szCs w:val="24"/>
        </w:rPr>
        <w:fldChar w:fldCharType="separate"/>
      </w:r>
      <w:r w:rsidRPr="005F769E">
        <w:rPr>
          <w:rFonts w:ascii="Times New Roman" w:hAnsi="Times New Roman" w:cs="Times New Roman"/>
          <w:sz w:val="24"/>
          <w:szCs w:val="24"/>
        </w:rPr>
        <w:t>(O’Leary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For example, the Pacific Decadal Oscillation (PDO) is an annual </w:t>
      </w:r>
      <w:r w:rsidR="002A7C24">
        <w:rPr>
          <w:rFonts w:ascii="Times New Roman" w:hAnsi="Times New Roman" w:cs="Times New Roman"/>
          <w:sz w:val="24"/>
          <w:szCs w:val="24"/>
        </w:rPr>
        <w:t xml:space="preserve">index </w:t>
      </w:r>
      <w:r>
        <w:rPr>
          <w:rFonts w:ascii="Times New Roman" w:hAnsi="Times New Roman" w:cs="Times New Roman"/>
          <w:sz w:val="24"/>
          <w:szCs w:val="24"/>
        </w:rPr>
        <w:t xml:space="preserve">of the location of elevated ocean temperatures in the North Pacific relative to their climatological average, and the PDO was originally identified to correlate with oscillating productivity of salmon stocks between the US West Coast and Alaska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{"citationID":"Mrbf79Rz","properties":{"formattedCitation":"(Mantua and Hare, 2002)","plainCitation":"(Mantua and Hare, 2002)","noteIndex":0},"citationItems":[{"id":1073,"uris":["http://zotero.org/users/251206/items/48X57EZU"],"uri":["http://zotero.org/users/251206/items/48X57EZU"],"itemData":{"id":1073,"type":"article-journal","title":"The Pacific decadal oscillation","container-title":"Journal of Oceanography","page":"35–44","volume":"58","issue":"1","source":"Google Scholar","author":[{"family":"Mantua","given":"Nathan J."},{"family":"Hare","given":"Steven R."}],"issued":{"date-parts":[["2002"]]}}}],"schema":"https://github.com/citation-style-language/schema/raw/master/csl-citation.json"} </w:instrText>
      </w:r>
      <w:r>
        <w:rPr>
          <w:rFonts w:ascii="Times New Roman" w:hAnsi="Times New Roman" w:cs="Times New Roman"/>
          <w:sz w:val="24"/>
          <w:szCs w:val="24"/>
        </w:rPr>
        <w:fldChar w:fldCharType="separate"/>
      </w:r>
      <w:r w:rsidRPr="005F769E">
        <w:rPr>
          <w:rFonts w:ascii="Times New Roman" w:hAnsi="Times New Roman" w:cs="Times New Roman"/>
          <w:sz w:val="24"/>
        </w:rPr>
        <w:t>(Mantua and Hare,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1541D">
        <w:rPr>
          <w:rFonts w:ascii="Times New Roman" w:hAnsi="Times New Roman" w:cs="Times New Roman"/>
          <w:sz w:val="24"/>
          <w:szCs w:val="24"/>
        </w:rPr>
        <w:t xml:space="preserve"> </w:t>
      </w:r>
    </w:p>
    <w:p w14:paraId="3F94BF21" w14:textId="54132575" w:rsidR="00B34CC3" w:rsidRPr="0026469C" w:rsidRDefault="005F769E"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Despite the well-documented role of oceanographic indices in driving changes in fish productivity and distribution, there is surprisingly little research regarding their potential role in </w:t>
      </w:r>
      <w:r w:rsidR="0026469C">
        <w:rPr>
          <w:rFonts w:ascii="Times New Roman" w:hAnsi="Times New Roman" w:cs="Times New Roman"/>
          <w:sz w:val="24"/>
          <w:szCs w:val="24"/>
        </w:rPr>
        <w:t xml:space="preserve">species distribution models used to forecast marine </w:t>
      </w:r>
      <w:r>
        <w:rPr>
          <w:rFonts w:ascii="Times New Roman" w:hAnsi="Times New Roman" w:cs="Times New Roman"/>
          <w:sz w:val="24"/>
          <w:szCs w:val="24"/>
        </w:rPr>
        <w:t xml:space="preserve">distribution shifts.  </w:t>
      </w:r>
      <w:r w:rsidR="0026469C">
        <w:rPr>
          <w:rFonts w:ascii="Times New Roman" w:hAnsi="Times New Roman" w:cs="Times New Roman"/>
          <w:sz w:val="24"/>
          <w:szCs w:val="24"/>
        </w:rPr>
        <w:t xml:space="preserve">As </w:t>
      </w:r>
      <w:r w:rsidR="00D509D9">
        <w:rPr>
          <w:rFonts w:ascii="Times New Roman" w:hAnsi="Times New Roman" w:cs="Times New Roman"/>
          <w:sz w:val="24"/>
          <w:szCs w:val="24"/>
        </w:rPr>
        <w:t xml:space="preserve">I </w:t>
      </w:r>
      <w:r w:rsidR="0026469C">
        <w:rPr>
          <w:rFonts w:ascii="Times New Roman" w:hAnsi="Times New Roman" w:cs="Times New Roman"/>
          <w:sz w:val="24"/>
          <w:szCs w:val="24"/>
        </w:rPr>
        <w:t xml:space="preserve">will show, this may arise due to the way in which oceanographic indices </w:t>
      </w:r>
      <w:r w:rsidR="0097185F">
        <w:rPr>
          <w:rFonts w:ascii="Times New Roman" w:hAnsi="Times New Roman" w:cs="Times New Roman"/>
          <w:sz w:val="24"/>
          <w:szCs w:val="24"/>
        </w:rPr>
        <w:t xml:space="preserve">would typically </w:t>
      </w:r>
      <w:r w:rsidR="0026469C">
        <w:rPr>
          <w:rFonts w:ascii="Times New Roman" w:hAnsi="Times New Roman" w:cs="Times New Roman"/>
          <w:sz w:val="24"/>
          <w:szCs w:val="24"/>
        </w:rPr>
        <w:t>be included in regression models such as SDM, wherein an annual index can only impact spatial distribution though its interaction with a spatially referenced variable.  We therefore describe a novel approach to including oceanographic indices via a “</w:t>
      </w:r>
      <w:r w:rsidR="00D509D9">
        <w:rPr>
          <w:rFonts w:ascii="Times New Roman" w:hAnsi="Times New Roman" w:cs="Times New Roman"/>
          <w:sz w:val="24"/>
          <w:szCs w:val="24"/>
        </w:rPr>
        <w:t>spatially vary</w:t>
      </w:r>
      <w:r w:rsidR="0026469C">
        <w:rPr>
          <w:rFonts w:ascii="Times New Roman" w:hAnsi="Times New Roman" w:cs="Times New Roman"/>
          <w:sz w:val="24"/>
          <w:szCs w:val="24"/>
        </w:rPr>
        <w:t xml:space="preserve">ing coefficient” (SVC) model, where the map associated with positive/negative values of the annual index are freely estimated.  We first discuss several potential interpretations of this SVC model and modify an existing R package </w:t>
      </w:r>
      <w:r w:rsidR="0026469C">
        <w:rPr>
          <w:rFonts w:ascii="Times New Roman" w:hAnsi="Times New Roman" w:cs="Times New Roman"/>
          <w:i/>
          <w:sz w:val="24"/>
          <w:szCs w:val="24"/>
        </w:rPr>
        <w:t>VAST</w:t>
      </w:r>
      <w:r w:rsidR="0026469C">
        <w:rPr>
          <w:rFonts w:ascii="Times New Roman" w:hAnsi="Times New Roman" w:cs="Times New Roman"/>
          <w:sz w:val="24"/>
          <w:szCs w:val="24"/>
        </w:rPr>
        <w:t xml:space="preserve"> for multivariate spatio-temporal models </w:t>
      </w:r>
      <w:r w:rsidR="0026469C">
        <w:rPr>
          <w:rFonts w:ascii="Times New Roman" w:hAnsi="Times New Roman" w:cs="Times New Roman"/>
          <w:sz w:val="24"/>
          <w:szCs w:val="24"/>
        </w:rPr>
        <w:fldChar w:fldCharType="begin"/>
      </w:r>
      <w:r w:rsidR="0026469C">
        <w:rPr>
          <w:rFonts w:ascii="Times New Roman" w:hAnsi="Times New Roman" w:cs="Times New Roman"/>
          <w:sz w:val="24"/>
          <w:szCs w:val="24"/>
        </w:rPr>
        <w:instrText xml:space="preserve"> ADDIN ZOTERO_ITEM CSL_CITATION {"citationID":"wBobfZdm","properties":{"formattedCitation":"(Thorson and Barnett, 2017)","plainCitation":"(Thorson and Barnett, 2017)","noteIndex":0},"citationItems":[{"id":1909,"uris":["http://zotero.org/users/251206/items/GNT2U8Z6"],"uri":["http://zotero.org/users/251206/items/GNT2U8Z6"],"itemData":{"id":1909,"type":"article-journal","title":"Comparing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K."}],"issued":{"date-parts":[["2017",5,1]]}}}],"schema":"https://github.com/citation-style-language/schema/raw/master/csl-citation.json"} </w:instrText>
      </w:r>
      <w:r w:rsidR="0026469C">
        <w:rPr>
          <w:rFonts w:ascii="Times New Roman" w:hAnsi="Times New Roman" w:cs="Times New Roman"/>
          <w:sz w:val="24"/>
          <w:szCs w:val="24"/>
        </w:rPr>
        <w:fldChar w:fldCharType="separate"/>
      </w:r>
      <w:r w:rsidR="0026469C" w:rsidRPr="0026469C">
        <w:rPr>
          <w:rFonts w:ascii="Times New Roman" w:hAnsi="Times New Roman" w:cs="Times New Roman"/>
          <w:sz w:val="24"/>
        </w:rPr>
        <w:t>(Thorson and Barnett, 2017)</w:t>
      </w:r>
      <w:r w:rsidR="0026469C">
        <w:rPr>
          <w:rFonts w:ascii="Times New Roman" w:hAnsi="Times New Roman" w:cs="Times New Roman"/>
          <w:sz w:val="24"/>
          <w:szCs w:val="24"/>
        </w:rPr>
        <w:fldChar w:fldCharType="end"/>
      </w:r>
      <w:r w:rsidR="0026469C">
        <w:rPr>
          <w:rFonts w:ascii="Times New Roman" w:hAnsi="Times New Roman" w:cs="Times New Roman"/>
          <w:sz w:val="24"/>
          <w:szCs w:val="24"/>
        </w:rPr>
        <w:t xml:space="preserve"> to include SVC models.  We then </w:t>
      </w:r>
      <w:r w:rsidR="007C7F52">
        <w:rPr>
          <w:rFonts w:ascii="Times New Roman" w:hAnsi="Times New Roman" w:cs="Times New Roman"/>
          <w:sz w:val="24"/>
          <w:szCs w:val="24"/>
        </w:rPr>
        <w:t>explore SVC models using</w:t>
      </w:r>
      <w:r w:rsidR="0026469C">
        <w:rPr>
          <w:rFonts w:ascii="Times New Roman" w:hAnsi="Times New Roman" w:cs="Times New Roman"/>
          <w:sz w:val="24"/>
          <w:szCs w:val="24"/>
        </w:rPr>
        <w:t xml:space="preserve"> a case-study involving twenty fish and decapod species in the Eastern Bering Sea, where spatial dynamics are widely hypothesized to be linked to the spatial extent of cold waters resulting from ice melt</w:t>
      </w:r>
      <w:r w:rsidR="00AB2585">
        <w:rPr>
          <w:rFonts w:ascii="Times New Roman" w:hAnsi="Times New Roman" w:cs="Times New Roman"/>
          <w:sz w:val="24"/>
          <w:szCs w:val="24"/>
        </w:rPr>
        <w:t xml:space="preserve"> in previous years</w:t>
      </w:r>
      <w:r w:rsidR="0026469C">
        <w:rPr>
          <w:rFonts w:ascii="Times New Roman" w:hAnsi="Times New Roman" w:cs="Times New Roman"/>
          <w:sz w:val="24"/>
          <w:szCs w:val="24"/>
        </w:rPr>
        <w:t>.  We specifically use this case study to answer two questions: (1) does a</w:t>
      </w:r>
      <w:r w:rsidR="00AB2585">
        <w:rPr>
          <w:rFonts w:ascii="Times New Roman" w:hAnsi="Times New Roman" w:cs="Times New Roman"/>
          <w:sz w:val="24"/>
          <w:szCs w:val="24"/>
        </w:rPr>
        <w:t xml:space="preserve">n SVC </w:t>
      </w:r>
      <w:r w:rsidR="0026469C">
        <w:rPr>
          <w:rFonts w:ascii="Times New Roman" w:hAnsi="Times New Roman" w:cs="Times New Roman"/>
          <w:sz w:val="24"/>
          <w:szCs w:val="24"/>
        </w:rPr>
        <w:t xml:space="preserve">model for cold-pool area explain a substantial portion of variation in spatial distribution for species in this region? and (2) does a </w:t>
      </w:r>
      <w:r w:rsidR="00D509D9">
        <w:rPr>
          <w:rFonts w:ascii="Times New Roman" w:hAnsi="Times New Roman" w:cs="Times New Roman"/>
          <w:sz w:val="24"/>
          <w:szCs w:val="24"/>
        </w:rPr>
        <w:t>spatially vary</w:t>
      </w:r>
      <w:r w:rsidR="0026469C">
        <w:rPr>
          <w:rFonts w:ascii="Times New Roman" w:hAnsi="Times New Roman" w:cs="Times New Roman"/>
          <w:sz w:val="24"/>
          <w:szCs w:val="24"/>
        </w:rPr>
        <w:t xml:space="preserve">ing impact of the cold-pool remain useful and significant even when also including local temperature as a covariate?  </w:t>
      </w:r>
      <w:r w:rsidR="00500331">
        <w:rPr>
          <w:rFonts w:ascii="Times New Roman" w:hAnsi="Times New Roman" w:cs="Times New Roman"/>
          <w:sz w:val="24"/>
          <w:szCs w:val="24"/>
        </w:rPr>
        <w:t xml:space="preserve">Results confirm that a </w:t>
      </w:r>
      <w:r w:rsidR="00D509D9">
        <w:rPr>
          <w:rFonts w:ascii="Times New Roman" w:hAnsi="Times New Roman" w:cs="Times New Roman"/>
          <w:sz w:val="24"/>
          <w:szCs w:val="24"/>
        </w:rPr>
        <w:t>spatially vary</w:t>
      </w:r>
      <w:r w:rsidR="00500331">
        <w:rPr>
          <w:rFonts w:ascii="Times New Roman" w:hAnsi="Times New Roman" w:cs="Times New Roman"/>
          <w:sz w:val="24"/>
          <w:szCs w:val="24"/>
        </w:rPr>
        <w:t xml:space="preserve">ing coefficient model for </w:t>
      </w:r>
      <w:r w:rsidR="00500331">
        <w:rPr>
          <w:rFonts w:ascii="Times New Roman" w:hAnsi="Times New Roman" w:cs="Times New Roman"/>
          <w:sz w:val="24"/>
          <w:szCs w:val="24"/>
        </w:rPr>
        <w:lastRenderedPageBreak/>
        <w:t xml:space="preserve">cold-pool extent is informative even given inclusion of local bottom temperature, and that the two variables can explain nearly 20% of spatio-temporal variability across species.  </w:t>
      </w:r>
    </w:p>
    <w:p w14:paraId="2351022B" w14:textId="77777777" w:rsidR="00B34CC3" w:rsidRPr="00B82CC1" w:rsidRDefault="00B34CC3" w:rsidP="00B46FB7">
      <w:pPr>
        <w:tabs>
          <w:tab w:val="left" w:pos="360"/>
        </w:tabs>
        <w:spacing w:after="0" w:line="480" w:lineRule="auto"/>
        <w:rPr>
          <w:rFonts w:ascii="Times New Roman" w:hAnsi="Times New Roman" w:cs="Times New Roman"/>
          <w:b/>
          <w:sz w:val="28"/>
          <w:szCs w:val="28"/>
        </w:rPr>
      </w:pPr>
      <w:r w:rsidRPr="00B82CC1">
        <w:rPr>
          <w:rFonts w:ascii="Times New Roman" w:hAnsi="Times New Roman" w:cs="Times New Roman"/>
          <w:b/>
          <w:sz w:val="28"/>
          <w:szCs w:val="28"/>
        </w:rPr>
        <w:t>Methods</w:t>
      </w:r>
    </w:p>
    <w:p w14:paraId="3F0C61A5" w14:textId="4735580D" w:rsidR="00B34CC3" w:rsidRDefault="00663A24"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212101">
        <w:rPr>
          <w:rFonts w:ascii="Times New Roman" w:hAnsi="Times New Roman" w:cs="Times New Roman"/>
          <w:sz w:val="24"/>
          <w:szCs w:val="24"/>
        </w:rPr>
        <w:t>I</w:t>
      </w:r>
      <w:r>
        <w:rPr>
          <w:rFonts w:ascii="Times New Roman" w:hAnsi="Times New Roman" w:cs="Times New Roman"/>
          <w:sz w:val="24"/>
          <w:szCs w:val="24"/>
        </w:rPr>
        <w:t xml:space="preserve"> seek to determine whether </w:t>
      </w:r>
      <w:r w:rsidR="00D509D9">
        <w:rPr>
          <w:rFonts w:ascii="Times New Roman" w:hAnsi="Times New Roman" w:cs="Times New Roman"/>
          <w:sz w:val="24"/>
          <w:szCs w:val="24"/>
        </w:rPr>
        <w:t>spatially vary</w:t>
      </w:r>
      <w:r>
        <w:rPr>
          <w:rFonts w:ascii="Times New Roman" w:hAnsi="Times New Roman" w:cs="Times New Roman"/>
          <w:sz w:val="24"/>
          <w:szCs w:val="24"/>
        </w:rPr>
        <w:t xml:space="preserve">ing responses to </w:t>
      </w:r>
      <w:r w:rsidR="006955A7">
        <w:rPr>
          <w:rFonts w:ascii="Times New Roman" w:hAnsi="Times New Roman" w:cs="Times New Roman"/>
          <w:sz w:val="24"/>
          <w:szCs w:val="24"/>
        </w:rPr>
        <w:t xml:space="preserve">annual oceanographic indices </w:t>
      </w:r>
      <w:r w:rsidR="00B82CC1">
        <w:rPr>
          <w:rFonts w:ascii="Times New Roman" w:hAnsi="Times New Roman" w:cs="Times New Roman"/>
          <w:sz w:val="24"/>
          <w:szCs w:val="24"/>
        </w:rPr>
        <w:t xml:space="preserve">can (1) improve model parsimony, reduce unexplained variation, and decrease forecast errors relative to a model without covariates and (2) whether </w:t>
      </w:r>
      <w:r w:rsidR="00D509D9">
        <w:rPr>
          <w:rFonts w:ascii="Times New Roman" w:hAnsi="Times New Roman" w:cs="Times New Roman"/>
          <w:sz w:val="24"/>
          <w:szCs w:val="24"/>
        </w:rPr>
        <w:t>spatially vary</w:t>
      </w:r>
      <w:r w:rsidR="00B82CC1">
        <w:rPr>
          <w:rFonts w:ascii="Times New Roman" w:hAnsi="Times New Roman" w:cs="Times New Roman"/>
          <w:sz w:val="24"/>
          <w:szCs w:val="24"/>
        </w:rPr>
        <w:t>ing coefficients are still estimable and parsimonious even when including</w:t>
      </w:r>
      <w:r w:rsidR="006955A7">
        <w:rPr>
          <w:rFonts w:ascii="Times New Roman" w:hAnsi="Times New Roman" w:cs="Times New Roman"/>
          <w:sz w:val="24"/>
          <w:szCs w:val="24"/>
        </w:rPr>
        <w:t xml:space="preserve"> local environmental conditions in addition to annual oceanographic indices</w:t>
      </w:r>
      <w:r w:rsidR="00B82CC1">
        <w:rPr>
          <w:rFonts w:ascii="Times New Roman" w:hAnsi="Times New Roman" w:cs="Times New Roman"/>
          <w:sz w:val="24"/>
          <w:szCs w:val="24"/>
        </w:rPr>
        <w:t xml:space="preserve">.  To do so, </w:t>
      </w:r>
      <w:r w:rsidR="00212101">
        <w:rPr>
          <w:rFonts w:ascii="Times New Roman" w:hAnsi="Times New Roman" w:cs="Times New Roman"/>
          <w:sz w:val="24"/>
          <w:szCs w:val="24"/>
        </w:rPr>
        <w:t>I</w:t>
      </w:r>
      <w:r w:rsidR="00B82CC1">
        <w:rPr>
          <w:rFonts w:ascii="Times New Roman" w:hAnsi="Times New Roman" w:cs="Times New Roman"/>
          <w:sz w:val="24"/>
          <w:szCs w:val="24"/>
        </w:rPr>
        <w:t xml:space="preserve"> first introduce </w:t>
      </w:r>
      <w:r w:rsidR="00D509D9">
        <w:rPr>
          <w:rFonts w:ascii="Times New Roman" w:hAnsi="Times New Roman" w:cs="Times New Roman"/>
          <w:sz w:val="24"/>
          <w:szCs w:val="24"/>
        </w:rPr>
        <w:t>spatially vary</w:t>
      </w:r>
      <w:r w:rsidR="00B82CC1">
        <w:rPr>
          <w:rFonts w:ascii="Times New Roman" w:hAnsi="Times New Roman" w:cs="Times New Roman"/>
          <w:sz w:val="24"/>
          <w:szCs w:val="24"/>
        </w:rPr>
        <w:t xml:space="preserve">ing coefficient models, their interpretation, and their estimation.  We then describe a case study involving twenty fish and decapod species in the Eastern Bering Sea that is used to address our two questions.  </w:t>
      </w:r>
    </w:p>
    <w:p w14:paraId="1A522037" w14:textId="59C00F06" w:rsidR="00B82CC1" w:rsidRPr="00187E1D" w:rsidRDefault="00B82CC1" w:rsidP="00B46FB7">
      <w:pPr>
        <w:tabs>
          <w:tab w:val="left" w:pos="360"/>
        </w:tabs>
        <w:spacing w:after="0" w:line="480" w:lineRule="auto"/>
        <w:rPr>
          <w:rFonts w:ascii="Times New Roman" w:hAnsi="Times New Roman" w:cs="Times New Roman"/>
          <w:b/>
          <w:sz w:val="24"/>
          <w:szCs w:val="24"/>
        </w:rPr>
      </w:pPr>
      <w:r>
        <w:rPr>
          <w:rFonts w:ascii="Times New Roman" w:hAnsi="Times New Roman" w:cs="Times New Roman"/>
          <w:b/>
          <w:sz w:val="24"/>
          <w:szCs w:val="24"/>
        </w:rPr>
        <w:t>Spatially-varying coefficient models</w:t>
      </w:r>
      <w:r w:rsidR="00FE6353">
        <w:rPr>
          <w:rFonts w:ascii="Times New Roman" w:hAnsi="Times New Roman" w:cs="Times New Roman"/>
          <w:sz w:val="24"/>
          <w:szCs w:val="24"/>
        </w:rPr>
        <w:t xml:space="preserve"> </w:t>
      </w:r>
    </w:p>
    <w:p w14:paraId="2E583A24" w14:textId="298935EA" w:rsidR="00FE6353" w:rsidRDefault="00FE6353" w:rsidP="00B46FB7">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t>One alternative to using local covariate effects is “spatially</w:t>
      </w:r>
      <w:r w:rsidR="00D509D9">
        <w:rPr>
          <w:rFonts w:ascii="Times New Roman" w:hAnsi="Times New Roman" w:cs="Times New Roman"/>
          <w:sz w:val="24"/>
          <w:szCs w:val="24"/>
        </w:rPr>
        <w:t xml:space="preserve"> </w:t>
      </w:r>
      <w:r>
        <w:rPr>
          <w:rFonts w:ascii="Times New Roman" w:hAnsi="Times New Roman" w:cs="Times New Roman"/>
          <w:sz w:val="24"/>
          <w:szCs w:val="24"/>
        </w:rPr>
        <w:t xml:space="preserve">varying coefficient” (SVC) models.  These models have been discussed extensively in statistical applications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{"citationID":"DBjTTgQo","properties":{"unsorted":true,"formattedCitation":"(Gelfand et al., 2004; Finley, 2011)","plainCitation":"(Gelfand et al., 2004; Finley, 2011)","noteIndex":0},"citationItems":[{"id":4,"uris":["http://zotero.org/users/251206/items/Q88ESQ3T"],"uri":["http://zotero.org/users/251206/items/Q88ESQ3T"],"itemData":{"id":4,"type":"article-journal","title":"Nonstationary multivariate process modeling through spatially varying coregionalization","container-title":"Test","page":"263-312","volume":"13","issue":"2","source":"link.springer.com","abstract":"Models for the analysis of multivariate spatial data are receiving increased attention these days. In many applications it will be preferable to work with multivariate spatial processes to specify such models. A critical specification in providing these models is the cross covariance function. Constructive approaches for developing valid cross-covariance functions offer the most practical strategy for doing this. These approaches include separability, kernel convolution or moving average methods, and convolution of covariance functions. We review these approaches but take as our main focus the computationally manageable class referred to as the linear model of coregionalization (LMC). We introduce a fully Bayesian development of the LMC. We offer clarification of the connection between joint and conditional approaches to fitting such models including prior specifications. However, to substantially enhance the usefulness of such modelling we propose the notion of a spatially varying LMC (SVLMC) providing a very rich class of multivariate nonstationary processes with simple interpretation. We illustrate the use of our proposed SVLMC with application to more than 600 commercial property transactions in three quite different real estate markets, Chicago, Dallas and San Diego. Bivariate nonstationary process inodels are developed for income from and selling price of the property.","DOI":"10.1007/BF02595775","ISSN":"1133-0686, 1863-8260","journalAbbreviation":"Test","language":"en","author":[{"family":"Gelfand","given":"Alan E."},{"family":"Schmidt","given":"Alexandra M."},{"family":"Banerjee","given":"Sudipto"},{"family":"Sirmans","given":"C. F."}],"issued":{"date-parts":[["2004",12,1]]}}},{"id":5000,"uris":["http://zotero.org/users/251206/items/9FBMRAUU"],"uri":["http://zotero.org/users/251206/items/9FBMRAUU"],"itemData":{"id":5000,"type":"article-journal","title":"Comparing spatially-varying coefficients models for analysis of ecological data with non-stationary and anisotropic residual dependence","container-title":"Methods in Ecology and Evolution","page":"143-154","volume":"2","issue":"2","source":"Wiley Online Library","abstract":"1. When exploring spatially complex ecological phenomena using regression models it is often unreasonable to assume a single set of regression coefficients can capture space-varying and scale-dependent relationships between covariates and the outcome variable. This is especially true when conducting analysis across large spatial domains, where there is an increased propensity for anisotropic dependence structures and non-stationarity in the underlying spatial processes. 2. Geographically weighted regression (GWR) and Bayesian spatially-varying coefficients (SVC) are the most common methods for modelling such data. This paper compares these methods for modelling data generated from non-stationary processes. The comparison highlights some strengths and limitations of each method and aims to assist those who seek appropriate methods to better understand spatially complex ecological systems. Both synthetic and ecological data sets are used to facilitate the comparison. 3. Results underscored the need for the postulated model to approximate the underlying mechanism generating the data. Further, results show GWR and SVC can produce very different regression coefficient surfaces and hence dramatically different conclusions can be drawn regarding the impact of covariates. The trade-off between the richer inferential framework of SVC models and computational demands is also discussed.","DOI":"10.1111/j.2041-210X.2010.00060.x","ISSN":"2041-210X","language":"en","author":[{"family":"Finley","given":"Andrew O."}],"issued":{"date-parts":[["2011"]]}}}],"schema":"https://github.com/citation-style-language/schema/raw/master/csl-citation.json"} </w:instrText>
      </w:r>
      <w:r>
        <w:rPr>
          <w:rFonts w:ascii="Times New Roman" w:hAnsi="Times New Roman" w:cs="Times New Roman"/>
          <w:sz w:val="24"/>
          <w:szCs w:val="24"/>
        </w:rPr>
        <w:fldChar w:fldCharType="separate"/>
      </w:r>
      <w:r w:rsidRPr="00FE6353">
        <w:rPr>
          <w:rFonts w:ascii="Times New Roman" w:hAnsi="Times New Roman" w:cs="Times New Roman"/>
          <w:sz w:val="24"/>
        </w:rPr>
        <w:t>(Gelfand et al., 2004; Finley, 2011)</w:t>
      </w:r>
      <w:r>
        <w:rPr>
          <w:rFonts w:ascii="Times New Roman" w:hAnsi="Times New Roman" w:cs="Times New Roman"/>
          <w:sz w:val="24"/>
          <w:szCs w:val="24"/>
        </w:rPr>
        <w:fldChar w:fldCharType="end"/>
      </w:r>
      <w:r w:rsidR="0047726A">
        <w:rPr>
          <w:rFonts w:ascii="Times New Roman" w:hAnsi="Times New Roman" w:cs="Times New Roman"/>
          <w:sz w:val="24"/>
          <w:szCs w:val="24"/>
        </w:rPr>
        <w:t xml:space="preserve"> and have seen some limited use in fisheries </w:t>
      </w:r>
      <w:r w:rsidR="0047726A">
        <w:rPr>
          <w:rFonts w:ascii="Times New Roman" w:hAnsi="Times New Roman" w:cs="Times New Roman"/>
          <w:sz w:val="24"/>
          <w:szCs w:val="24"/>
        </w:rPr>
        <w:fldChar w:fldCharType="begin"/>
      </w:r>
      <w:r w:rsidR="00D609C7">
        <w:rPr>
          <w:rFonts w:ascii="Times New Roman" w:hAnsi="Times New Roman" w:cs="Times New Roman"/>
          <w:sz w:val="24"/>
          <w:szCs w:val="24"/>
        </w:rPr>
        <w:instrText xml:space="preserve"> ADDIN ZOTERO_ITEM CSL_CITATION {"citationID":"gHtvDQCG","properties":{"unsorted":true,"formattedCitation":"(Bacheler et al., 2009; Bartolino et al., 2011)","plainCitation":"(Bacheler et al., 2009; Bartolino et al., 2011)","noteIndex":0},"citationItems":[{"id":5003,"uris":["http://zotero.org/users/251206/items/WUY6FJFA"],"uri":["http://zotero.org/users/251206/items/WUY6FJFA"],"itemData":{"id":5003,"type":"article-journal","title":"Density-dependent, landscape, and climate effects on spawning distribution of walleye pollock Theragra chalcogramma","container-title":"Marine Ecology Progress Series","page":"1-12","volume":"391","source":"www.int-res.com","abstract":"Little is known about the ways in which density-dependent and density-independent factors influence the spatial dynamics of fish spawning, despite their importance for egg and larval development, survival, and, ultimately, recruitment. Using 2 novel approaches, we related the spatial and temporal patterns of 28 yr of walleye pollock Theragra chalcogramma egg data in Shelikof Strait, Alaska, USA, to density-dependent, landscape, and climate effects. First, we used a spatially explicit variable coefficient generalized additive model (GAM) to show that spawning biomass, water temperature, and ocean transport each had unique spatial effects on walleye pollock egg density. Specifically, increased spawning biomass had a positive effect on egg density at the periphery of the core spawning area, inferring spawning area expansion at high spawning biomass and contraction at low levels. Moreover, increased Shelikof Strait transport caused pollock egg density to increase at the downstream edge of the core spawning area and decrease at the upstream edge. To test the validity of the variable coefficient GAM we also used a geometric method that related the area and center of mass of the pollock spawning aggregation to spawning biomass, transport, and temperature in annual time steps. The area of the spawning aggregation was positively related to spawning biomass, but not to transport or temperature. Variable coefficient GAMs are a useful tool to disentangle the spatially explicit forces of density-dependent and density-independent processes on fish populations.","DOI":"10.3354/meps08259","ISSN":"0171-8630, 1616-1599","language":"en","author":[{"family":"Bacheler","given":"Nathan M."},{"family":"Bailey","given":"Kevin M."},{"family":"Ciannelli","given":"Lorenzo"},{"family":"Bartolino","given":"Valerio"},{"family":"Chan","given":"Kung-Sik"}],"issued":{"date-parts":[["2009",9,28]]}}},{"id":5004,"uris":["http://zotero.org/users/251206/items/94YTWF2W"],"uri":["http://zotero.org/users/251206/items/94YTWF2W"],"itemData":{"id":5004,"type":"article-journal","title":"Ontogenetic and sex-specific differences in density-dependent habitat selection of a marine fish population","container-title":"Ecology","page":"189-200","volume":"92","issue":"1","source":"Wiley Online Library","abstract":"The spatial dynamics of species are the result of complex interactions between density-independent and density-dependent sources of variability. Disentangling these two sources of variability has challenged ecologists working in both terrestrial and aquatic ecosystems. Using a novel spatially explicit statistical model, we tested for the presence of density-independent and density-dependent habitat selection in yellowfin sole (Limanda aspera) in the eastern Bering Sea. We found specificities in the density-dependent processes operating across ontogeny and particularly with gender. Density-dependent habitat expansion occurred primarily in females, and to a lesser degree in males. These patterns were especially evident in adult stages, while juvenile stages of both sexes exhibited a mix of different dynamics. Association of yellowfin sole with substrate type also varied by sex and to a lesser degree with size, with large females distributed over a wider range of substrates than males. Moreover, yellowfin sole expanded northward as cold subsurface waters retracted in summer, suggesting high sensitivity to arctic warming. Our findings illustrate how marginal habitats can play an important role in buffering density-dependent habitat expansion, with direct implications for resource management. Our spatially explicit modeling approach is effective in evaluating density-dependent spatial dynamics, and can easily be used to test similar hypotheses from a variety of aquatic and terrestrial ecosystems.","DOI":"10.1890/09-1129.1","ISSN":"1939-9170","language":"en","author":[{"family":"Bartolino","given":"Valerio"},{"family":"Ciannelli","given":"Lorenzo"},{"family":"Bacheler","given":"Nathan M."},{"family":"Chan","given":"Kung-Sik"}],"issued":{"date-parts":[["2011"]]}}}],"schema":"https://github.com/citation-style-language/schema/raw/master/csl-citation.json"} </w:instrText>
      </w:r>
      <w:r w:rsidR="0047726A">
        <w:rPr>
          <w:rFonts w:ascii="Times New Roman" w:hAnsi="Times New Roman" w:cs="Times New Roman"/>
          <w:sz w:val="24"/>
          <w:szCs w:val="24"/>
        </w:rPr>
        <w:fldChar w:fldCharType="separate"/>
      </w:r>
      <w:r w:rsidR="00D609C7" w:rsidRPr="00D609C7">
        <w:rPr>
          <w:rFonts w:ascii="Times New Roman" w:hAnsi="Times New Roman" w:cs="Times New Roman"/>
          <w:sz w:val="24"/>
        </w:rPr>
        <w:t>(Bacheler et al., 2009; Bartolino et al., 2011)</w:t>
      </w:r>
      <w:r w:rsidR="0047726A">
        <w:rPr>
          <w:rFonts w:ascii="Times New Roman" w:hAnsi="Times New Roman" w:cs="Times New Roman"/>
          <w:sz w:val="24"/>
          <w:szCs w:val="24"/>
        </w:rPr>
        <w:fldChar w:fldCharType="end"/>
      </w:r>
      <w:r w:rsidR="00D609C7">
        <w:rPr>
          <w:rFonts w:ascii="Times New Roman" w:hAnsi="Times New Roman" w:cs="Times New Roman"/>
          <w:sz w:val="24"/>
          <w:szCs w:val="24"/>
        </w:rPr>
        <w:t xml:space="preserve">, e.g., to identify seasonal shifts in pollock distribution in the Eastern Bering Sea </w:t>
      </w:r>
      <w:r w:rsidR="00D609C7">
        <w:rPr>
          <w:rFonts w:ascii="Times New Roman" w:hAnsi="Times New Roman" w:cs="Times New Roman"/>
          <w:sz w:val="24"/>
          <w:szCs w:val="24"/>
        </w:rPr>
        <w:fldChar w:fldCharType="begin"/>
      </w:r>
      <w:r w:rsidR="00D609C7">
        <w:rPr>
          <w:rFonts w:ascii="Times New Roman" w:hAnsi="Times New Roman" w:cs="Times New Roman"/>
          <w:sz w:val="24"/>
          <w:szCs w:val="24"/>
        </w:rPr>
        <w:instrText xml:space="preserve"> ADDIN ZOTERO_ITEM CSL_CITATION {"citationID":"0fC2E7uF","properties":{"formattedCitation":"(Bacheler et al., 2012)","plainCitation":"(Bacheler et al., 2012)","noteIndex":0},"citationItems":[{"id":5111,"uris":["http://zotero.org/users/251206/items/KPFK6UGN"],"uri":["http://zotero.org/users/251206/items/KPFK6UGN"],"itemData":{"id":5111,"type":"article-journal","title":"Do walleye pollock exhibit flexibility in where or when they spawn based on variability in water temperature?","container-title":"Deep Sea Research Part II: Topical Studies in Oceanography","collection-title":"Understanding Ecosystem Processes in the Eastern Bering Sea","page":"208-216","volume":"65-70","source":"ScienceDirect","abstract":"Environmental variability is increasingly recognized as a primary determinant of year-class strength of marine fishes by directly or indirectly influencing egg and larval development, growth, and survival. Here we examined the role of annual water temperature variability in determining when and where walleye pollock (Theragra chalcogramma) spawn in the eastern Bering Sea. Walleye pollock spawning was examined using both long-term ichthyoplankton data (N=19 years), as well as with historical spatially explicit, foreign-reported, commercial catch data occurring during the primary walleye pollock spawning season (February–May) each year (N=22 years in total). We constructed variable-coefficient generalized additive models (GAMs) to relate the spatially explicit egg or adult catch-per-unit-effort (CPUE) to predictor variables including spawning stock biomass, season, position, and water temperature. The adjusted R2 value was 63.1% for the egg CPUE model and 35.5% for the adult CPUE model. Both egg and adult GAMs suggest that spawning progresses seasonally from Bogoslof Island in February and March to Outer Domain waters between the Pribilof and Unimak Islands by May. Most importantly, walleye pollock egg and adult CPUE was predicted to generally increase throughout the study area as mean annual water temperature increased. These results suggest low interannual variability in the spatial and temporal dynamics of walleye pollock spawning regardless of changes in environmental conditions, at least at the spatial scale examined in this study and within the time frame of decades.","DOI":"10.1016/j.dsr2.2012.02.001","ISSN":"0967-0645","journalAbbreviation":"Deep Sea Research Part II: Topical Studies in Oceanography","author":[{"family":"Bacheler","given":"Nathan M."},{"family":"Ciannelli","given":"Lorenzo"},{"family":"Bailey","given":"Kevin M."},{"family":"Bartolino","given":"Valerio"}],"issued":{"date-parts":[["2012",6,15]]}}}],"schema":"https://github.com/citation-style-language/schema/raw/master/csl-citation.json"} </w:instrText>
      </w:r>
      <w:r w:rsidR="00D609C7">
        <w:rPr>
          <w:rFonts w:ascii="Times New Roman" w:hAnsi="Times New Roman" w:cs="Times New Roman"/>
          <w:sz w:val="24"/>
          <w:szCs w:val="24"/>
        </w:rPr>
        <w:fldChar w:fldCharType="separate"/>
      </w:r>
      <w:r w:rsidR="00D609C7" w:rsidRPr="00D609C7">
        <w:rPr>
          <w:rFonts w:ascii="Times New Roman" w:hAnsi="Times New Roman" w:cs="Times New Roman"/>
          <w:sz w:val="24"/>
        </w:rPr>
        <w:t>(Bacheler et al., 2012)</w:t>
      </w:r>
      <w:r w:rsidR="00D609C7">
        <w:rPr>
          <w:rFonts w:ascii="Times New Roman" w:hAnsi="Times New Roman" w:cs="Times New Roman"/>
          <w:sz w:val="24"/>
          <w:szCs w:val="24"/>
        </w:rPr>
        <w:fldChar w:fldCharType="end"/>
      </w:r>
      <w:r w:rsidR="0047726A">
        <w:rPr>
          <w:rFonts w:ascii="Times New Roman" w:hAnsi="Times New Roman" w:cs="Times New Roman"/>
          <w:sz w:val="24"/>
          <w:szCs w:val="24"/>
        </w:rPr>
        <w:t xml:space="preserve">.  As a simple example, SVC models typically predict some response variable </w:t>
      </w:r>
      <m:oMath>
        <m:r>
          <w:rPr>
            <w:rFonts w:ascii="Cambria Math" w:hAnsi="Cambria Math" w:cs="Times New Roman"/>
            <w:sz w:val="24"/>
            <w:szCs w:val="24"/>
          </w:rPr>
          <m:t>Y</m:t>
        </m:r>
      </m:oMath>
      <w:r w:rsidR="0047726A">
        <w:rPr>
          <w:rFonts w:ascii="Times New Roman" w:eastAsiaTheme="minorEastAsia" w:hAnsi="Times New Roman" w:cs="Times New Roman"/>
          <w:sz w:val="24"/>
          <w:szCs w:val="24"/>
        </w:rPr>
        <w:t xml:space="preserve"> as a linear function of a predictor </w:t>
      </w:r>
      <m:oMath>
        <m:r>
          <w:rPr>
            <w:rFonts w:ascii="Cambria Math" w:eastAsiaTheme="minorEastAsia" w:hAnsi="Cambria Math" w:cs="Times New Roman"/>
            <w:sz w:val="24"/>
            <w:szCs w:val="24"/>
          </w:rPr>
          <m:t>X</m:t>
        </m:r>
      </m:oMath>
      <w:r w:rsidR="0047726A">
        <w:rPr>
          <w:rFonts w:ascii="Times New Roman" w:eastAsiaTheme="minorEastAsia" w:hAnsi="Times New Roman" w:cs="Times New Roman"/>
          <w:sz w:val="24"/>
          <w:szCs w:val="24"/>
        </w:rPr>
        <w:t xml:space="preserve"> where the parameter </w:t>
      </w:r>
      <m:oMath>
        <m:r>
          <w:rPr>
            <w:rFonts w:ascii="Cambria Math" w:eastAsiaTheme="minorEastAsia" w:hAnsi="Cambria Math" w:cs="Times New Roman"/>
            <w:sz w:val="24"/>
            <w:szCs w:val="24"/>
          </w:rPr>
          <m:t>β</m:t>
        </m:r>
      </m:oMath>
      <w:r w:rsidR="0047726A">
        <w:rPr>
          <w:rFonts w:ascii="Times New Roman" w:eastAsiaTheme="minorEastAsia" w:hAnsi="Times New Roman" w:cs="Times New Roman"/>
          <w:sz w:val="24"/>
          <w:szCs w:val="24"/>
        </w:rPr>
        <w:t xml:space="preserve"> representing the linear response of </w:t>
      </w:r>
      <m:oMath>
        <m:r>
          <w:rPr>
            <w:rFonts w:ascii="Cambria Math" w:eastAsiaTheme="minorEastAsia" w:hAnsi="Cambria Math" w:cs="Times New Roman"/>
            <w:sz w:val="24"/>
            <w:szCs w:val="24"/>
          </w:rPr>
          <m:t>Y</m:t>
        </m:r>
      </m:oMath>
      <w:r w:rsidR="0047726A">
        <w:rPr>
          <w:rFonts w:ascii="Times New Roman" w:eastAsiaTheme="minorEastAsia" w:hAnsi="Times New Roman" w:cs="Times New Roman"/>
          <w:sz w:val="24"/>
          <w:szCs w:val="24"/>
        </w:rPr>
        <w:t xml:space="preserve"> to changes in </w:t>
      </w:r>
      <m:oMath>
        <m:r>
          <w:rPr>
            <w:rFonts w:ascii="Cambria Math" w:eastAsiaTheme="minorEastAsia" w:hAnsi="Cambria Math" w:cs="Times New Roman"/>
            <w:sz w:val="24"/>
            <w:szCs w:val="24"/>
          </w:rPr>
          <m:t>X</m:t>
        </m:r>
      </m:oMath>
      <w:r w:rsidR="0047726A">
        <w:rPr>
          <w:rFonts w:ascii="Times New Roman" w:eastAsiaTheme="minorEastAsia" w:hAnsi="Times New Roman" w:cs="Times New Roman"/>
          <w:sz w:val="24"/>
          <w:szCs w:val="24"/>
        </w:rPr>
        <w:t xml:space="preserve"> varies as a function of space: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6955A7" w14:paraId="7DEA63EB" w14:textId="77777777" w:rsidTr="006955A7">
        <w:tc>
          <w:tcPr>
            <w:tcW w:w="8545" w:type="dxa"/>
          </w:tcPr>
          <w:p w14:paraId="6A2D5D81" w14:textId="152503B0" w:rsidR="006955A7" w:rsidRPr="006955A7" w:rsidRDefault="006955A7" w:rsidP="00B46FB7">
            <w:pPr>
              <w:tabs>
                <w:tab w:val="left" w:pos="36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=β+γ(s)X</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+ε(s)</m:t>
                </m:r>
              </m:oMath>
            </m:oMathPara>
          </w:p>
        </w:tc>
        <w:tc>
          <w:tcPr>
            <w:tcW w:w="805" w:type="dxa"/>
          </w:tcPr>
          <w:p w14:paraId="69690B7B" w14:textId="30920ABA" w:rsidR="006955A7" w:rsidRDefault="006955A7" w:rsidP="00B46FB7">
            <w:pPr>
              <w:tabs>
                <w:tab w:val="left" w:pos="36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170513">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w:t>
            </w:r>
          </w:p>
        </w:tc>
      </w:tr>
    </w:tbl>
    <w:p w14:paraId="0F158142" w14:textId="71A28BBC" w:rsidR="0047726A" w:rsidRPr="00E249D0" w:rsidRDefault="0047726A" w:rsidP="00B46FB7">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is a global intercept, </w:t>
      </w:r>
      <m:oMath>
        <m:r>
          <w:rPr>
            <w:rFonts w:ascii="Cambria Math" w:hAnsi="Cambria Math" w:cs="Times New Roman"/>
            <w:sz w:val="24"/>
            <w:szCs w:val="24"/>
          </w:rPr>
          <m:t>γ(s)</m:t>
        </m:r>
      </m:oMath>
      <w:r>
        <w:rPr>
          <w:rFonts w:ascii="Times New Roman" w:eastAsiaTheme="minorEastAsia" w:hAnsi="Times New Roman" w:cs="Times New Roman"/>
          <w:sz w:val="24"/>
          <w:szCs w:val="24"/>
        </w:rPr>
        <w:t xml:space="preserve"> is the slope at spatial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ε(s)</m:t>
        </m:r>
      </m:oMath>
      <w:r>
        <w:rPr>
          <w:rFonts w:ascii="Times New Roman" w:eastAsiaTheme="minorEastAsia" w:hAnsi="Times New Roman" w:cs="Times New Roman"/>
          <w:sz w:val="24"/>
          <w:szCs w:val="24"/>
        </w:rPr>
        <w:t xml:space="preserve"> represents residual errors.  Although </w:t>
      </w:r>
      <m:oMath>
        <m:r>
          <w:rPr>
            <w:rFonts w:ascii="Cambria Math" w:hAnsi="Cambria Math" w:cs="Times New Roman"/>
            <w:sz w:val="24"/>
            <w:szCs w:val="24"/>
          </w:rPr>
          <m:t>γ(s)</m:t>
        </m:r>
      </m:oMath>
      <w:r>
        <w:rPr>
          <w:rFonts w:ascii="Times New Roman" w:eastAsiaTheme="minorEastAsia" w:hAnsi="Times New Roman" w:cs="Times New Roman"/>
          <w:sz w:val="24"/>
          <w:szCs w:val="24"/>
        </w:rPr>
        <w:t xml:space="preserve"> can be approximated as a parametric function (i.e., as a function of some other covariate), a general treatment allows</w:t>
      </w:r>
      <w:r w:rsidR="006955A7">
        <w:rPr>
          <w:rFonts w:ascii="Times New Roman" w:eastAsiaTheme="minorEastAsia" w:hAnsi="Times New Roman" w:cs="Times New Roman"/>
          <w:sz w:val="24"/>
          <w:szCs w:val="24"/>
        </w:rPr>
        <w:t xml:space="preserve"> slope</w:t>
      </w:r>
      <w:r>
        <w:rPr>
          <w:rFonts w:ascii="Times New Roman" w:eastAsiaTheme="minorEastAsia" w:hAnsi="Times New Roman" w:cs="Times New Roman"/>
          <w:sz w:val="24"/>
          <w:szCs w:val="24"/>
        </w:rPr>
        <w:t xml:space="preserve"> </w:t>
      </w:r>
      <m:oMath>
        <m:r>
          <w:rPr>
            <w:rFonts w:ascii="Cambria Math" w:hAnsi="Cambria Math" w:cs="Times New Roman"/>
            <w:sz w:val="24"/>
            <w:szCs w:val="24"/>
          </w:rPr>
          <m:t>γ(s)</m:t>
        </m:r>
      </m:oMath>
      <w:r>
        <w:rPr>
          <w:rFonts w:ascii="Times New Roman" w:eastAsiaTheme="minorEastAsia" w:hAnsi="Times New Roman" w:cs="Times New Roman"/>
          <w:sz w:val="24"/>
          <w:szCs w:val="24"/>
        </w:rPr>
        <w:t xml:space="preserve"> to vary randomly across space</w:t>
      </w:r>
      <w:r w:rsidR="004D65BB">
        <w:rPr>
          <w:rFonts w:ascii="Times New Roman" w:eastAsiaTheme="minorEastAsia" w:hAnsi="Times New Roman" w:cs="Times New Roman"/>
          <w:sz w:val="24"/>
          <w:szCs w:val="24"/>
        </w:rPr>
        <w:t xml:space="preserve">, </w:t>
      </w:r>
      <m:oMath>
        <m:r>
          <w:rPr>
            <w:rFonts w:ascii="Cambria Math" w:hAnsi="Cambria Math" w:cs="Times New Roman"/>
            <w:sz w:val="24"/>
            <w:szCs w:val="24"/>
          </w:rPr>
          <m:t>γ</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m:t>
            </m:r>
          </m:sub>
        </m:sSub>
        <m:r>
          <w:rPr>
            <w:rFonts w:ascii="Cambria Math" w:hAnsi="Cambria Math" w:cs="Times New Roman"/>
            <w:sz w:val="24"/>
            <w:szCs w:val="24"/>
          </w:rPr>
          <m:t>(s)</m:t>
        </m:r>
      </m:oMath>
      <w:r w:rsidR="004D65BB">
        <w:rPr>
          <w:rFonts w:ascii="Times New Roman" w:eastAsiaTheme="minorEastAsia" w:hAnsi="Times New Roman" w:cs="Times New Roman"/>
          <w:sz w:val="24"/>
          <w:szCs w:val="24"/>
        </w:rPr>
        <w:t>, w</w:t>
      </w:r>
      <w:r>
        <w:rPr>
          <w:rFonts w:ascii="Times New Roman" w:eastAsiaTheme="minorEastAsia"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is the average slope across space and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m:t>
            </m:r>
          </m:sub>
        </m:sSub>
      </m:oMath>
      <w:r>
        <w:rPr>
          <w:rFonts w:ascii="Times New Roman" w:hAnsi="Times New Roman" w:cs="Times New Roman"/>
          <w:sz w:val="24"/>
          <w:szCs w:val="24"/>
        </w:rPr>
        <w:t xml:space="preserve"> is a zero-mean function </w:t>
      </w:r>
      <w:r>
        <w:rPr>
          <w:rFonts w:ascii="Times New Roman" w:hAnsi="Times New Roman" w:cs="Times New Roman"/>
          <w:sz w:val="24"/>
          <w:szCs w:val="24"/>
        </w:rPr>
        <w:lastRenderedPageBreak/>
        <w:t xml:space="preserve">representing spatial variation in </w:t>
      </w:r>
      <m:oMath>
        <m:r>
          <w:rPr>
            <w:rFonts w:ascii="Cambria Math" w:hAnsi="Cambria Math" w:cs="Times New Roman"/>
            <w:sz w:val="24"/>
            <w:szCs w:val="24"/>
          </w:rPr>
          <m:t>γ(s)</m:t>
        </m:r>
      </m:oMath>
      <w:r>
        <w:rPr>
          <w:rFonts w:ascii="Times New Roman" w:eastAsiaTheme="minorEastAsia" w:hAnsi="Times New Roman" w:cs="Times New Roman"/>
          <w:sz w:val="24"/>
          <w:szCs w:val="24"/>
        </w:rPr>
        <w:t xml:space="preserve">.  In the following, </w:t>
      </w:r>
      <w:r w:rsidR="00212101">
        <w:rPr>
          <w:rFonts w:ascii="Times New Roman" w:eastAsiaTheme="minorEastAsia" w:hAnsi="Times New Roman" w:cs="Times New Roman"/>
          <w:sz w:val="24"/>
          <w:szCs w:val="24"/>
        </w:rPr>
        <w:t xml:space="preserve">I </w:t>
      </w:r>
      <w:r>
        <w:rPr>
          <w:rFonts w:ascii="Times New Roman" w:eastAsiaTheme="minorEastAsia" w:hAnsi="Times New Roman" w:cs="Times New Roman"/>
          <w:sz w:val="24"/>
          <w:szCs w:val="24"/>
        </w:rPr>
        <w:t xml:space="preserve">specify that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m:t>
            </m:r>
          </m:sub>
        </m:sSub>
        <m:r>
          <w:rPr>
            <w:rFonts w:ascii="Cambria Math" w:hAnsi="Cambria Math" w:cs="Times New Roman"/>
            <w:sz w:val="24"/>
            <w:szCs w:val="24"/>
          </w:rPr>
          <m:t>(s)</m:t>
        </m:r>
      </m:oMath>
      <w:r>
        <w:rPr>
          <w:rFonts w:ascii="Times New Roman" w:eastAsiaTheme="minorEastAsia" w:hAnsi="Times New Roman" w:cs="Times New Roman"/>
          <w:sz w:val="24"/>
          <w:szCs w:val="24"/>
        </w:rPr>
        <w:t xml:space="preserve"> follows a zero-mean Gaussian Markov random field</w:t>
      </w:r>
      <w:r w:rsidR="004D65BB">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γ</m:t>
            </m:r>
          </m:e>
          <m:sub>
            <m:r>
              <w:rPr>
                <w:rFonts w:ascii="Cambria Math" w:hAnsi="Cambria Math" w:cs="Times New Roman"/>
                <w:sz w:val="24"/>
                <w:szCs w:val="24"/>
              </w:rPr>
              <m:t>X</m:t>
            </m:r>
          </m:sub>
        </m:sSub>
        <m:r>
          <w:rPr>
            <w:rFonts w:ascii="Cambria Math" w:hAnsi="Cambria Math" w:cs="Times New Roman"/>
            <w:sz w:val="24"/>
            <w:szCs w:val="24"/>
          </w:rPr>
          <m:t>~MVN(</m:t>
        </m:r>
        <m:r>
          <m:rPr>
            <m:sty m:val="bi"/>
          </m:rPr>
          <w:rPr>
            <w:rFonts w:ascii="Cambria Math" w:hAnsi="Cambria Math" w:cs="Times New Roman"/>
            <w:sz w:val="24"/>
            <w:szCs w:val="24"/>
          </w:rPr>
          <m:t>0</m:t>
        </m:r>
        <m:r>
          <w:rPr>
            <w:rFonts w:ascii="Cambria Math" w:hAnsi="Cambria Math" w:cs="Times New Roman"/>
            <w:sz w:val="24"/>
            <w:szCs w:val="24"/>
          </w:rPr>
          <m:t>,</m:t>
        </m:r>
        <m:r>
          <m:rPr>
            <m:sty m:val="b"/>
          </m:rPr>
          <w:rPr>
            <w:rFonts w:ascii="Cambria Math" w:hAnsi="Cambria Math" w:cs="Times New Roman"/>
            <w:sz w:val="24"/>
            <w:szCs w:val="24"/>
          </w:rPr>
          <m:t>Σ</m:t>
        </m:r>
        <m:r>
          <w:rPr>
            <w:rFonts w:ascii="Cambria Math" w:hAnsi="Cambria Math" w:cs="Times New Roman"/>
            <w:sz w:val="24"/>
            <w:szCs w:val="24"/>
          </w:rPr>
          <m:t>)</m:t>
        </m:r>
      </m:oMath>
      <w:r w:rsidR="004D65BB">
        <w:rPr>
          <w:rFonts w:ascii="Times New Roman" w:eastAsiaTheme="minorEastAsia" w:hAnsi="Times New Roman" w:cs="Times New Roman"/>
          <w:sz w:val="24"/>
          <w:szCs w:val="24"/>
        </w:rPr>
        <w:t>, w</w:t>
      </w:r>
      <w:r w:rsidR="005712E0">
        <w:rPr>
          <w:rFonts w:ascii="Times New Roman" w:eastAsiaTheme="minorEastAsia" w:hAnsi="Times New Roman" w:cs="Times New Roman"/>
          <w:sz w:val="24"/>
          <w:szCs w:val="24"/>
        </w:rPr>
        <w:t xml:space="preserve">here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γ</m:t>
            </m:r>
          </m:e>
          <m:sub>
            <m:r>
              <w:rPr>
                <w:rFonts w:ascii="Cambria Math" w:hAnsi="Cambria Math" w:cs="Times New Roman"/>
                <w:sz w:val="24"/>
                <w:szCs w:val="24"/>
              </w:rPr>
              <m:t>X</m:t>
            </m:r>
          </m:sub>
        </m:sSub>
      </m:oMath>
      <w:r w:rsidR="005712E0">
        <w:rPr>
          <w:rFonts w:ascii="Times New Roman" w:eastAsiaTheme="minorEastAsia" w:hAnsi="Times New Roman" w:cs="Times New Roman"/>
          <w:sz w:val="24"/>
          <w:szCs w:val="24"/>
        </w:rPr>
        <w:t xml:space="preserve"> is the vector of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005712E0">
        <w:rPr>
          <w:rFonts w:ascii="Times New Roman" w:eastAsiaTheme="minorEastAsia" w:hAnsi="Times New Roman" w:cs="Times New Roman"/>
          <w:sz w:val="24"/>
          <w:szCs w:val="24"/>
        </w:rPr>
        <w:t xml:space="preserve"> at some set of locations and </w:t>
      </w:r>
      <m:oMath>
        <m:r>
          <m:rPr>
            <m:sty m:val="b"/>
          </m:rPr>
          <w:rPr>
            <w:rFonts w:ascii="Cambria Math" w:hAnsi="Cambria Math" w:cs="Times New Roman"/>
            <w:sz w:val="24"/>
            <w:szCs w:val="24"/>
          </w:rPr>
          <m:t>Σ</m:t>
        </m:r>
      </m:oMath>
      <w:r w:rsidR="005712E0">
        <w:rPr>
          <w:rFonts w:ascii="Times New Roman" w:eastAsiaTheme="minorEastAsia" w:hAnsi="Times New Roman" w:cs="Times New Roman"/>
          <w:b/>
          <w:sz w:val="24"/>
          <w:szCs w:val="24"/>
        </w:rPr>
        <w:t xml:space="preserve"> </w:t>
      </w:r>
      <w:r w:rsidR="005712E0">
        <w:rPr>
          <w:rFonts w:ascii="Times New Roman" w:eastAsiaTheme="minorEastAsia" w:hAnsi="Times New Roman" w:cs="Times New Roman"/>
          <w:sz w:val="24"/>
          <w:szCs w:val="24"/>
        </w:rPr>
        <w:t>is a sparse approximation to a spatial correlation function.  This specification then</w:t>
      </w:r>
      <w:r>
        <w:rPr>
          <w:rFonts w:ascii="Times New Roman" w:eastAsiaTheme="minorEastAsia" w:hAnsi="Times New Roman" w:cs="Times New Roman"/>
          <w:sz w:val="24"/>
          <w:szCs w:val="24"/>
        </w:rPr>
        <w:t xml:space="preserve"> allows for easy integration into existing Vector Autoregressive Spatio-Temporal </w:t>
      </w:r>
      <w:r w:rsidR="005712E0">
        <w:rPr>
          <w:rFonts w:ascii="Times New Roman" w:eastAsiaTheme="minorEastAsia" w:hAnsi="Times New Roman" w:cs="Times New Roman"/>
          <w:sz w:val="24"/>
          <w:szCs w:val="24"/>
        </w:rPr>
        <w:t xml:space="preserve">modelling software, available as the </w:t>
      </w:r>
      <w:r>
        <w:rPr>
          <w:rFonts w:ascii="Times New Roman" w:eastAsiaTheme="minorEastAsia" w:hAnsi="Times New Roman" w:cs="Times New Roman"/>
          <w:sz w:val="24"/>
          <w:szCs w:val="24"/>
        </w:rPr>
        <w:t xml:space="preserve">R package </w:t>
      </w:r>
      <w:r w:rsidR="005712E0">
        <w:rPr>
          <w:rFonts w:ascii="Times New Roman" w:eastAsiaTheme="minorEastAsia" w:hAnsi="Times New Roman" w:cs="Times New Roman"/>
          <w:i/>
          <w:sz w:val="24"/>
          <w:szCs w:val="24"/>
        </w:rPr>
        <w:t xml:space="preserve">VAST </w:t>
      </w:r>
      <w:r w:rsidR="005712E0">
        <w:rPr>
          <w:rFonts w:ascii="Times New Roman" w:eastAsiaTheme="minorEastAsia" w:hAnsi="Times New Roman" w:cs="Times New Roman"/>
          <w:i/>
          <w:sz w:val="24"/>
          <w:szCs w:val="24"/>
        </w:rPr>
        <w:fldChar w:fldCharType="begin"/>
      </w:r>
      <w:r w:rsidR="005712E0">
        <w:rPr>
          <w:rFonts w:ascii="Times New Roman" w:eastAsiaTheme="minorEastAsia" w:hAnsi="Times New Roman" w:cs="Times New Roman"/>
          <w:i/>
          <w:sz w:val="24"/>
          <w:szCs w:val="24"/>
        </w:rPr>
        <w:instrText xml:space="preserve"> ADDIN ZOTERO_ITEM CSL_CITATION {"citationID":"DcYoJl32","properties":{"formattedCitation":"(Thorson, 2019b)","plainCitation":"(Thorson, 2019b)","noteIndex":0},"citationItems":[{"id":4973,"uris":["http://zotero.org/users/251206/items/SKX65JVM"],"uri":["http://zotero.org/users/251206/items/SKX65JVM"],"itemData":{"id":4973,"type":"article-journal","title":"Guidance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sidR="005712E0">
        <w:rPr>
          <w:rFonts w:ascii="Times New Roman" w:eastAsiaTheme="minorEastAsia" w:hAnsi="Times New Roman" w:cs="Times New Roman"/>
          <w:i/>
          <w:sz w:val="24"/>
          <w:szCs w:val="24"/>
        </w:rPr>
        <w:fldChar w:fldCharType="separate"/>
      </w:r>
      <w:r w:rsidR="005712E0" w:rsidRPr="005712E0">
        <w:rPr>
          <w:rFonts w:ascii="Times New Roman" w:hAnsi="Times New Roman" w:cs="Times New Roman"/>
          <w:sz w:val="24"/>
        </w:rPr>
        <w:t>(Thorson, 2019b)</w:t>
      </w:r>
      <w:r w:rsidR="005712E0">
        <w:rPr>
          <w:rFonts w:ascii="Times New Roman" w:eastAsiaTheme="minorEastAsia" w:hAnsi="Times New Roman" w:cs="Times New Roman"/>
          <w:i/>
          <w:sz w:val="24"/>
          <w:szCs w:val="24"/>
        </w:rPr>
        <w:fldChar w:fldCharType="end"/>
      </w:r>
      <w:r w:rsidR="005712E0">
        <w:rPr>
          <w:rFonts w:ascii="Times New Roman" w:eastAsiaTheme="minorEastAsia" w:hAnsi="Times New Roman" w:cs="Times New Roman"/>
          <w:sz w:val="24"/>
          <w:szCs w:val="24"/>
        </w:rPr>
        <w:t xml:space="preserve">.  </w:t>
      </w:r>
      <w:r w:rsidR="00E249D0">
        <w:rPr>
          <w:rFonts w:ascii="Times New Roman" w:eastAsiaTheme="minorEastAsia" w:hAnsi="Times New Roman" w:cs="Times New Roman"/>
          <w:sz w:val="24"/>
          <w:szCs w:val="24"/>
        </w:rPr>
        <w:t xml:space="preserve">Although </w:t>
      </w:r>
      <w:r w:rsidR="00212101">
        <w:rPr>
          <w:rFonts w:ascii="Times New Roman" w:eastAsiaTheme="minorEastAsia" w:hAnsi="Times New Roman" w:cs="Times New Roman"/>
          <w:sz w:val="24"/>
          <w:szCs w:val="24"/>
        </w:rPr>
        <w:t xml:space="preserve">I </w:t>
      </w:r>
      <w:r w:rsidR="00E249D0">
        <w:rPr>
          <w:rFonts w:ascii="Times New Roman" w:eastAsiaTheme="minorEastAsia" w:hAnsi="Times New Roman" w:cs="Times New Roman"/>
          <w:sz w:val="24"/>
          <w:szCs w:val="24"/>
        </w:rPr>
        <w:t xml:space="preserve">focus on implementing this approach using </w:t>
      </w:r>
      <w:r w:rsidR="00E249D0" w:rsidRPr="00E249D0">
        <w:rPr>
          <w:rFonts w:ascii="Times New Roman" w:eastAsiaTheme="minorEastAsia" w:hAnsi="Times New Roman" w:cs="Times New Roman"/>
          <w:i/>
          <w:sz w:val="24"/>
          <w:szCs w:val="24"/>
        </w:rPr>
        <w:t>VAST</w:t>
      </w:r>
      <w:r w:rsidR="00E249D0">
        <w:rPr>
          <w:rFonts w:ascii="Times New Roman" w:eastAsiaTheme="minorEastAsia" w:hAnsi="Times New Roman" w:cs="Times New Roman"/>
          <w:sz w:val="24"/>
          <w:szCs w:val="24"/>
        </w:rPr>
        <w:t xml:space="preserve">, the following could also be done in any other software package that can estimate the linear interaction of a continuous variable and a spatial random field or </w:t>
      </w:r>
      <w:r w:rsidR="004D2174">
        <w:rPr>
          <w:rFonts w:ascii="Times New Roman" w:eastAsiaTheme="minorEastAsia" w:hAnsi="Times New Roman" w:cs="Times New Roman"/>
          <w:sz w:val="24"/>
          <w:szCs w:val="24"/>
        </w:rPr>
        <w:t xml:space="preserve">penalized </w:t>
      </w:r>
      <w:r w:rsidR="00E249D0">
        <w:rPr>
          <w:rFonts w:ascii="Times New Roman" w:eastAsiaTheme="minorEastAsia" w:hAnsi="Times New Roman" w:cs="Times New Roman"/>
          <w:sz w:val="24"/>
          <w:szCs w:val="24"/>
        </w:rPr>
        <w:t xml:space="preserve">spline (e.g., package </w:t>
      </w:r>
      <w:r w:rsidR="00E249D0">
        <w:rPr>
          <w:rFonts w:ascii="Times New Roman" w:eastAsiaTheme="minorEastAsia" w:hAnsi="Times New Roman" w:cs="Times New Roman"/>
          <w:i/>
          <w:sz w:val="24"/>
          <w:szCs w:val="24"/>
        </w:rPr>
        <w:t>mgcv</w:t>
      </w:r>
      <w:r w:rsidR="00E249D0">
        <w:rPr>
          <w:rFonts w:ascii="Times New Roman" w:eastAsiaTheme="minorEastAsia" w:hAnsi="Times New Roman" w:cs="Times New Roman"/>
          <w:sz w:val="24"/>
          <w:szCs w:val="24"/>
        </w:rPr>
        <w:t xml:space="preserve">, Wood </w:t>
      </w:r>
      <w:r w:rsidR="00E249D0">
        <w:rPr>
          <w:rFonts w:ascii="Times New Roman" w:eastAsiaTheme="minorEastAsia" w:hAnsi="Times New Roman" w:cs="Times New Roman"/>
          <w:sz w:val="24"/>
          <w:szCs w:val="24"/>
        </w:rPr>
        <w:fldChar w:fldCharType="begin"/>
      </w:r>
      <w:r w:rsidR="00E249D0">
        <w:rPr>
          <w:rFonts w:ascii="Times New Roman" w:eastAsiaTheme="minorEastAsia" w:hAnsi="Times New Roman" w:cs="Times New Roman"/>
          <w:sz w:val="24"/>
          <w:szCs w:val="24"/>
        </w:rPr>
        <w:instrText xml:space="preserve"> ADDIN ZOTERO_ITEM CSL_CITATION {"citationID":"ooV38KKM","properties":{"formattedCitation":"(2006)","plainCitation":"(2006)","noteIndex":0},"citationItems":[{"id":885,"uris":["http://zotero.org/users/251206/items/3XHMC6CR"],"uri":["http://zotero.org/users/251206/items/3XHMC6CR"],"itemData":{"id":885,"type":"book","title":"Generalized additive models: an introduction with R","publisher":"Chapman and Hall/CRC Press","publisher-place":"Boca Raton, FL","edition":"1","source":"Google Scholar","event-place":"Boca Raton, FL","shortTitle":"Generalized additive models","author":[{"family":"Wood","given":"S. N"}],"issued":{"date-parts":[["2006"]]}},"suppress-author":true}],"schema":"https://github.com/citation-style-language/schema/raw/master/csl-citation.json"} </w:instrText>
      </w:r>
      <w:r w:rsidR="00E249D0">
        <w:rPr>
          <w:rFonts w:ascii="Times New Roman" w:eastAsiaTheme="minorEastAsia" w:hAnsi="Times New Roman" w:cs="Times New Roman"/>
          <w:sz w:val="24"/>
          <w:szCs w:val="24"/>
        </w:rPr>
        <w:fldChar w:fldCharType="separate"/>
      </w:r>
      <w:r w:rsidR="00E249D0" w:rsidRPr="00E249D0">
        <w:rPr>
          <w:rFonts w:ascii="Times New Roman" w:hAnsi="Times New Roman" w:cs="Times New Roman"/>
          <w:sz w:val="24"/>
        </w:rPr>
        <w:t>(2006)</w:t>
      </w:r>
      <w:r w:rsidR="00E249D0">
        <w:rPr>
          <w:rFonts w:ascii="Times New Roman" w:eastAsiaTheme="minorEastAsia" w:hAnsi="Times New Roman" w:cs="Times New Roman"/>
          <w:sz w:val="24"/>
          <w:szCs w:val="24"/>
        </w:rPr>
        <w:fldChar w:fldCharType="end"/>
      </w:r>
      <w:r w:rsidR="00E249D0">
        <w:rPr>
          <w:rFonts w:ascii="Times New Roman" w:eastAsiaTheme="minorEastAsia" w:hAnsi="Times New Roman" w:cs="Times New Roman"/>
          <w:sz w:val="24"/>
          <w:szCs w:val="24"/>
        </w:rPr>
        <w:t xml:space="preserve">).  </w:t>
      </w:r>
    </w:p>
    <w:p w14:paraId="2F434B7F" w14:textId="1C3E537E" w:rsidR="005712E0" w:rsidRPr="005712E0" w:rsidRDefault="005712E0" w:rsidP="00B46FB7">
      <w:pPr>
        <w:tabs>
          <w:tab w:val="left" w:pos="360"/>
        </w:tabs>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Interpretation of </w:t>
      </w:r>
      <w:r w:rsidR="00D509D9">
        <w:rPr>
          <w:rFonts w:ascii="Times New Roman" w:hAnsi="Times New Roman" w:cs="Times New Roman"/>
          <w:b/>
          <w:sz w:val="24"/>
          <w:szCs w:val="24"/>
        </w:rPr>
        <w:t>spatially vary</w:t>
      </w:r>
      <w:r>
        <w:rPr>
          <w:rFonts w:ascii="Times New Roman" w:hAnsi="Times New Roman" w:cs="Times New Roman"/>
          <w:b/>
          <w:sz w:val="24"/>
          <w:szCs w:val="24"/>
        </w:rPr>
        <w:t>ing coefficients in spatio-temporal models</w:t>
      </w:r>
    </w:p>
    <w:p w14:paraId="399C71BC" w14:textId="4689F81B" w:rsidR="000334DF" w:rsidRDefault="0031081F" w:rsidP="00B46FB7">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611463">
        <w:rPr>
          <w:rFonts w:ascii="Times New Roman" w:hAnsi="Times New Roman" w:cs="Times New Roman"/>
          <w:sz w:val="24"/>
          <w:szCs w:val="24"/>
        </w:rPr>
        <w:t xml:space="preserve">In the following, </w:t>
      </w:r>
      <w:r w:rsidR="00212101">
        <w:rPr>
          <w:rFonts w:ascii="Times New Roman" w:hAnsi="Times New Roman" w:cs="Times New Roman"/>
          <w:sz w:val="24"/>
          <w:szCs w:val="24"/>
        </w:rPr>
        <w:t xml:space="preserve">I </w:t>
      </w:r>
      <w:r w:rsidR="00611463">
        <w:rPr>
          <w:rFonts w:ascii="Times New Roman" w:hAnsi="Times New Roman" w:cs="Times New Roman"/>
          <w:sz w:val="24"/>
          <w:szCs w:val="24"/>
        </w:rPr>
        <w:t xml:space="preserve">will use </w:t>
      </w:r>
      <w:r w:rsidR="00D509D9">
        <w:rPr>
          <w:rFonts w:ascii="Times New Roman" w:hAnsi="Times New Roman" w:cs="Times New Roman"/>
          <w:sz w:val="24"/>
          <w:szCs w:val="24"/>
        </w:rPr>
        <w:t>spatially vary</w:t>
      </w:r>
      <w:r w:rsidR="00611463">
        <w:rPr>
          <w:rFonts w:ascii="Times New Roman" w:hAnsi="Times New Roman" w:cs="Times New Roman"/>
          <w:sz w:val="24"/>
          <w:szCs w:val="24"/>
        </w:rPr>
        <w:t xml:space="preserve">ing coefficients to try and explain spatio-temporal variation as resulting from an annual time-series.  Annual time-series are widely used to summarize oceanographic conditions in a given marine ecosystem, e.g., where the location of the North Atlantic Oscillation (NAO) is correlated with the Gulf Stream and therefore affects ocean productivity in the Northwest Atlantic shelf </w:t>
      </w:r>
      <w:r w:rsidR="00611463">
        <w:rPr>
          <w:rFonts w:ascii="Times New Roman" w:hAnsi="Times New Roman" w:cs="Times New Roman"/>
          <w:sz w:val="24"/>
          <w:szCs w:val="24"/>
        </w:rPr>
        <w:fldChar w:fldCharType="begin"/>
      </w:r>
      <w:r w:rsidR="00611463">
        <w:rPr>
          <w:rFonts w:ascii="Times New Roman" w:hAnsi="Times New Roman" w:cs="Times New Roman"/>
          <w:sz w:val="24"/>
          <w:szCs w:val="24"/>
        </w:rPr>
        <w:instrText xml:space="preserve"> ADDIN ZOTERO_ITEM CSL_CITATION {"citationID":"qWhvrqUr","properties":{"formattedCitation":"(O\\uc0\\u8217{}Leary et al., 2018)","plainCitation":"(O’Leary et al., 2018)","noteIndex":0},"citationItems":[{"id":5008,"uris":["http://zotero.org/users/251206/items/KUURVDBY"],"uri":["http://zotero.org/users/251206/items/KUURVDBY"],"itemData":{"id":5008,"type":"article-journal","title":"Understanding historical Summer Flounder (Paralichthys dentatus) abundance patterns through the incorporation of oceanography-dependent vital rates in Bayesian hierarchical models","container-title":"Canadian Journal of Fisheries and Aquatic Sciences","source":"NRC Research Press","abstract":"Climate can impact fish population dynamics through changes in productivity and shifts in distribution, and both responses have been observed for many fish species. However, few studies have incorporated climate into population dynamics or stock assessment models. This study aimed to uncover how past variations in population vital rates and fishing pressure account for observed abundance variation in summer flounder (Paralichthys dentatus). The influences of the Gulf Stream Index, an index of climate variability in the Northwest Atlantic, on abundance were explored through natural mortality and stock-recruitment relationships in age-structured hierarchical Bayesian models. Posterior predictive loss and Deviance Information Criterion indicated that out of tested models, the best estimates of summer flounder abundances resulted from the climate-dependent natural mortality model that included log-quadratic responses to the Gulf Stream Index. This climate-linked population model demonstrates the role of clima...","URL":"http://www.nrcresearchpress.com/doi/abs/10.1139/cjfas-2018-0092","DOI":"10.1139/cjfas-2018-0092","ISSN":"0706-652X","journalAbbreviation":"Can. J. Fish. Aquat. Sci.","author":[{"family":"O'Leary","given":"Cecilia Ann"},{"family":"Miller","given":"Timothy J."},{"family":"Thorson","given":"James T"},{"family":"Nye","given":"Janet A."}],"issued":{"date-parts":[["2018",12,13]]},"accessed":{"date-parts":[["2019",1,18]]}}}],"schema":"https://github.com/citation-style-language/schema/raw/master/csl-citation.json"} </w:instrText>
      </w:r>
      <w:r w:rsidR="00611463">
        <w:rPr>
          <w:rFonts w:ascii="Times New Roman" w:hAnsi="Times New Roman" w:cs="Times New Roman"/>
          <w:sz w:val="24"/>
          <w:szCs w:val="24"/>
        </w:rPr>
        <w:fldChar w:fldCharType="separate"/>
      </w:r>
      <w:r w:rsidR="00611463" w:rsidRPr="00611463">
        <w:rPr>
          <w:rFonts w:ascii="Times New Roman" w:hAnsi="Times New Roman" w:cs="Times New Roman"/>
          <w:sz w:val="24"/>
          <w:szCs w:val="24"/>
        </w:rPr>
        <w:t>(O’Leary et al., 2018)</w:t>
      </w:r>
      <w:r w:rsidR="00611463">
        <w:rPr>
          <w:rFonts w:ascii="Times New Roman" w:hAnsi="Times New Roman" w:cs="Times New Roman"/>
          <w:sz w:val="24"/>
          <w:szCs w:val="24"/>
        </w:rPr>
        <w:fldChar w:fldCharType="end"/>
      </w:r>
      <w:r w:rsidR="00611463">
        <w:rPr>
          <w:rFonts w:ascii="Times New Roman" w:hAnsi="Times New Roman" w:cs="Times New Roman"/>
          <w:sz w:val="24"/>
          <w:szCs w:val="24"/>
        </w:rPr>
        <w:t xml:space="preserve">.  I therefore describe a spatio-temporal model for a response </w:t>
      </w:r>
      <m:oMath>
        <m:r>
          <w:rPr>
            <w:rFonts w:ascii="Cambria Math" w:hAnsi="Cambria Math" w:cs="Times New Roman"/>
            <w:sz w:val="24"/>
            <w:szCs w:val="24"/>
          </w:rPr>
          <m:t>Y(s,t)</m:t>
        </m:r>
      </m:oMath>
      <w:r w:rsidR="000334DF">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8220F8" w14:paraId="41386864" w14:textId="77777777" w:rsidTr="002A5E15">
        <w:tc>
          <w:tcPr>
            <w:tcW w:w="8545" w:type="dxa"/>
          </w:tcPr>
          <w:p w14:paraId="7D952DE2" w14:textId="60F67928" w:rsidR="008220F8" w:rsidRPr="008220F8" w:rsidRDefault="008220F8" w:rsidP="00B46FB7">
            <w:pPr>
              <w:tabs>
                <w:tab w:val="left" w:pos="360"/>
              </w:tabs>
              <w:spacing w:line="480" w:lineRule="auto"/>
              <w:rPr>
                <w:rFonts w:ascii="Times New Roman"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s,t</m:t>
                    </m:r>
                  </m:e>
                </m:d>
                <m:r>
                  <w:rPr>
                    <w:rFonts w:ascii="Cambria Math" w:hAnsi="Cambria Math" w:cs="Times New Roman"/>
                    <w:sz w:val="24"/>
                    <w:szCs w:val="24"/>
                  </w:rPr>
                  <m:t>=β(t)+ω</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+ε(s,t)</m:t>
                </m:r>
              </m:oMath>
            </m:oMathPara>
          </w:p>
        </w:tc>
        <w:tc>
          <w:tcPr>
            <w:tcW w:w="805" w:type="dxa"/>
          </w:tcPr>
          <w:p w14:paraId="5F0E434A" w14:textId="6019AC38" w:rsidR="008220F8" w:rsidRDefault="008220F8" w:rsidP="00B46FB7">
            <w:pPr>
              <w:tabs>
                <w:tab w:val="left" w:pos="36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2A5E15">
              <w:rPr>
                <w:rFonts w:ascii="Times New Roman" w:eastAsiaTheme="minorEastAsia" w:hAnsi="Times New Roman" w:cs="Times New Roman"/>
                <w:sz w:val="24"/>
                <w:szCs w:val="24"/>
              </w:rPr>
              <w:t>2A</w:t>
            </w:r>
            <w:r>
              <w:rPr>
                <w:rFonts w:ascii="Times New Roman" w:eastAsiaTheme="minorEastAsia" w:hAnsi="Times New Roman" w:cs="Times New Roman"/>
                <w:sz w:val="24"/>
                <w:szCs w:val="24"/>
              </w:rPr>
              <w:t>)</w:t>
            </w:r>
          </w:p>
        </w:tc>
      </w:tr>
    </w:tbl>
    <w:p w14:paraId="22924FD3" w14:textId="0C8FED3B" w:rsidR="006955A7" w:rsidRDefault="000334DF" w:rsidP="00B46FB7">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an intercept</w:t>
      </w:r>
      <w:r w:rsidR="002204AE">
        <w:rPr>
          <w:rFonts w:ascii="Times New Roman" w:eastAsiaTheme="minorEastAsia" w:hAnsi="Times New Roman" w:cs="Times New Roman"/>
          <w:sz w:val="24"/>
          <w:szCs w:val="24"/>
        </w:rPr>
        <w:t xml:space="preserve"> that varies for every modeled time period </w:t>
      </w:r>
      <m:oMath>
        <m:r>
          <w:rPr>
            <w:rFonts w:ascii="Cambria Math" w:eastAsiaTheme="minorEastAsia" w:hAnsi="Cambria Math" w:cs="Times New Roman"/>
            <w:sz w:val="24"/>
            <w:szCs w:val="24"/>
          </w:rPr>
          <m:t>t</m:t>
        </m:r>
      </m:oMath>
      <w:r w:rsidR="002204AE">
        <w:rPr>
          <w:rFonts w:ascii="Times New Roman" w:eastAsiaTheme="minorEastAsia" w:hAnsi="Times New Roman" w:cs="Times New Roman"/>
          <w:sz w:val="24"/>
          <w:szCs w:val="24"/>
        </w:rPr>
        <w:t xml:space="preserve"> (e.g., among years)</w:t>
      </w:r>
      <w:r>
        <w:rPr>
          <w:rFonts w:ascii="Times New Roman" w:eastAsiaTheme="minorEastAsia" w:hAnsi="Times New Roman" w:cs="Times New Roman"/>
          <w:sz w:val="24"/>
          <w:szCs w:val="24"/>
        </w:rPr>
        <w:t xml:space="preserve">, </w:t>
      </w:r>
      <m:oMath>
        <m:r>
          <w:rPr>
            <w:rFonts w:ascii="Cambria Math" w:hAnsi="Cambria Math" w:cs="Times New Roman"/>
            <w:sz w:val="24"/>
            <w:szCs w:val="24"/>
          </w:rPr>
          <m:t>ω</m:t>
        </m:r>
        <m:d>
          <m:dPr>
            <m:ctrlPr>
              <w:rPr>
                <w:rFonts w:ascii="Cambria Math" w:hAnsi="Cambria Math" w:cs="Times New Roman"/>
                <w:i/>
                <w:sz w:val="24"/>
                <w:szCs w:val="24"/>
              </w:rPr>
            </m:ctrlPr>
          </m:dPr>
          <m:e>
            <m:r>
              <w:rPr>
                <w:rFonts w:ascii="Cambria Math" w:hAnsi="Cambria Math" w:cs="Times New Roman"/>
                <w:sz w:val="24"/>
                <w:szCs w:val="24"/>
              </w:rPr>
              <m:t>s</m:t>
            </m:r>
          </m:e>
        </m:d>
      </m:oMath>
      <w:r>
        <w:rPr>
          <w:rFonts w:ascii="Times New Roman" w:eastAsiaTheme="minorEastAsia" w:hAnsi="Times New Roman" w:cs="Times New Roman"/>
          <w:sz w:val="24"/>
          <w:szCs w:val="24"/>
        </w:rPr>
        <w:t xml:space="preserve"> is persistent spatial variation, and </w:t>
      </w:r>
      <m:oMath>
        <m:r>
          <w:rPr>
            <w:rFonts w:ascii="Cambria Math" w:hAnsi="Cambria Math" w:cs="Times New Roman"/>
            <w:sz w:val="24"/>
            <w:szCs w:val="24"/>
          </w:rPr>
          <m:t>ε(s,t)</m:t>
        </m:r>
      </m:oMath>
      <w:r>
        <w:rPr>
          <w:rFonts w:ascii="Times New Roman" w:eastAsiaTheme="minorEastAsia" w:hAnsi="Times New Roman" w:cs="Times New Roman"/>
          <w:sz w:val="24"/>
          <w:szCs w:val="24"/>
        </w:rPr>
        <w:t xml:space="preserve"> is spatial variation that changes over time (termed “spatio-temporal” variation).  Spatial shifts in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s,t</m:t>
            </m:r>
          </m:e>
        </m:d>
      </m:oMath>
      <w:r>
        <w:rPr>
          <w:rFonts w:ascii="Times New Roman" w:eastAsiaTheme="minorEastAsia" w:hAnsi="Times New Roman" w:cs="Times New Roman"/>
          <w:sz w:val="24"/>
          <w:szCs w:val="24"/>
        </w:rPr>
        <w:t xml:space="preserve"> are caused entirely by </w:t>
      </w:r>
      <m:oMath>
        <m:r>
          <w:rPr>
            <w:rFonts w:ascii="Cambria Math" w:hAnsi="Cambria Math" w:cs="Times New Roman"/>
            <w:sz w:val="24"/>
            <w:szCs w:val="24"/>
          </w:rPr>
          <m:t>ε(s,t)</m:t>
        </m:r>
      </m:oMath>
      <w:r>
        <w:rPr>
          <w:rFonts w:ascii="Times New Roman" w:eastAsiaTheme="minorEastAsia" w:hAnsi="Times New Roman" w:cs="Times New Roman"/>
          <w:sz w:val="24"/>
          <w:szCs w:val="24"/>
        </w:rPr>
        <w:t xml:space="preserve">, such that the spatial distribution of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s,t</m:t>
            </m:r>
          </m:e>
        </m:d>
      </m:oMath>
      <w:r>
        <w:rPr>
          <w:rFonts w:ascii="Times New Roman" w:eastAsiaTheme="minorEastAsia" w:hAnsi="Times New Roman" w:cs="Times New Roman"/>
          <w:sz w:val="24"/>
          <w:szCs w:val="24"/>
        </w:rPr>
        <w:t xml:space="preserve"> could be forecasted exactly given perfect information regarding </w:t>
      </w:r>
      <m:oMath>
        <m:r>
          <w:rPr>
            <w:rFonts w:ascii="Cambria Math" w:hAnsi="Cambria Math" w:cs="Times New Roman"/>
            <w:sz w:val="24"/>
            <w:szCs w:val="24"/>
          </w:rPr>
          <m:t>ε(s,t)</m:t>
        </m:r>
      </m:oMath>
      <w:r>
        <w:rPr>
          <w:rFonts w:ascii="Times New Roman" w:eastAsiaTheme="minorEastAsia" w:hAnsi="Times New Roman" w:cs="Times New Roman"/>
          <w:sz w:val="24"/>
          <w:szCs w:val="24"/>
        </w:rPr>
        <w:t xml:space="preserve">.  </w:t>
      </w:r>
      <w:r w:rsidR="00870431">
        <w:rPr>
          <w:rFonts w:ascii="Times New Roman" w:eastAsiaTheme="minorEastAsia" w:hAnsi="Times New Roman" w:cs="Times New Roman"/>
          <w:sz w:val="24"/>
          <w:szCs w:val="24"/>
        </w:rPr>
        <w:t xml:space="preserve">In the following, </w:t>
      </w:r>
      <w:r w:rsidR="00212101">
        <w:rPr>
          <w:rFonts w:ascii="Times New Roman" w:eastAsiaTheme="minorEastAsia" w:hAnsi="Times New Roman" w:cs="Times New Roman"/>
          <w:sz w:val="24"/>
          <w:szCs w:val="24"/>
        </w:rPr>
        <w:t xml:space="preserve">I </w:t>
      </w:r>
      <w:r w:rsidR="00870431">
        <w:rPr>
          <w:rFonts w:ascii="Times New Roman" w:eastAsiaTheme="minorEastAsia" w:hAnsi="Times New Roman" w:cs="Times New Roman"/>
          <w:sz w:val="24"/>
          <w:szCs w:val="24"/>
        </w:rPr>
        <w:t xml:space="preserve">provide three alternative interpretations of </w:t>
      </w:r>
      <w:r w:rsidR="00D509D9">
        <w:rPr>
          <w:rFonts w:ascii="Times New Roman" w:eastAsiaTheme="minorEastAsia" w:hAnsi="Times New Roman" w:cs="Times New Roman"/>
          <w:sz w:val="24"/>
          <w:szCs w:val="24"/>
        </w:rPr>
        <w:t>spatially vary</w:t>
      </w:r>
      <w:r w:rsidR="00870431">
        <w:rPr>
          <w:rFonts w:ascii="Times New Roman" w:eastAsiaTheme="minorEastAsia" w:hAnsi="Times New Roman" w:cs="Times New Roman"/>
          <w:sz w:val="24"/>
          <w:szCs w:val="24"/>
        </w:rPr>
        <w:t>ing coefficients:</w:t>
      </w:r>
    </w:p>
    <w:p w14:paraId="2F14B03B" w14:textId="20EA9925" w:rsidR="00870431" w:rsidRPr="00870431" w:rsidRDefault="00870431" w:rsidP="00B46FB7">
      <w:pPr>
        <w:tabs>
          <w:tab w:val="left" w:pos="360"/>
        </w:tabs>
        <w:spacing w:after="0" w:line="48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Regression of spatio-temporal variation on an annual index</w:t>
      </w:r>
    </w:p>
    <w:p w14:paraId="23F8ED50" w14:textId="4101F962" w:rsidR="005712E0" w:rsidRDefault="0031081F" w:rsidP="00B46FB7">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sidR="006955A7">
        <w:rPr>
          <w:rFonts w:ascii="Times New Roman" w:eastAsiaTheme="minorEastAsia" w:hAnsi="Times New Roman" w:cs="Times New Roman"/>
          <w:sz w:val="24"/>
          <w:szCs w:val="24"/>
        </w:rPr>
        <w:t xml:space="preserve">Analysts include covariates </w:t>
      </w:r>
      <m:oMath>
        <m:r>
          <w:rPr>
            <w:rFonts w:ascii="Cambria Math" w:eastAsiaTheme="minorEastAsia" w:hAnsi="Cambria Math" w:cs="Times New Roman"/>
            <w:sz w:val="24"/>
            <w:szCs w:val="24"/>
          </w:rPr>
          <m:t>X</m:t>
        </m:r>
      </m:oMath>
      <w:r w:rsidR="006955A7">
        <w:rPr>
          <w:rFonts w:ascii="Times New Roman" w:eastAsiaTheme="minorEastAsia" w:hAnsi="Times New Roman" w:cs="Times New Roman"/>
          <w:sz w:val="24"/>
          <w:szCs w:val="24"/>
        </w:rPr>
        <w:t xml:space="preserve"> </w:t>
      </w:r>
      <w:r w:rsidR="006A57DC">
        <w:rPr>
          <w:rFonts w:ascii="Times New Roman" w:eastAsiaTheme="minorEastAsia" w:hAnsi="Times New Roman" w:cs="Times New Roman"/>
          <w:sz w:val="24"/>
          <w:szCs w:val="24"/>
        </w:rPr>
        <w:t xml:space="preserve">for many different reasons, although </w:t>
      </w:r>
      <w:r w:rsidR="00212101">
        <w:rPr>
          <w:rFonts w:ascii="Times New Roman" w:eastAsiaTheme="minorEastAsia" w:hAnsi="Times New Roman" w:cs="Times New Roman"/>
          <w:sz w:val="24"/>
          <w:szCs w:val="24"/>
        </w:rPr>
        <w:t xml:space="preserve">I </w:t>
      </w:r>
      <w:r w:rsidR="006A57DC">
        <w:rPr>
          <w:rFonts w:ascii="Times New Roman" w:eastAsiaTheme="minorEastAsia" w:hAnsi="Times New Roman" w:cs="Times New Roman"/>
          <w:sz w:val="24"/>
          <w:szCs w:val="24"/>
        </w:rPr>
        <w:t xml:space="preserve">focus in the following on efforts to </w:t>
      </w:r>
      <w:r w:rsidR="006955A7">
        <w:rPr>
          <w:rFonts w:ascii="Times New Roman" w:eastAsiaTheme="minorEastAsia" w:hAnsi="Times New Roman" w:cs="Times New Roman"/>
          <w:sz w:val="24"/>
          <w:szCs w:val="24"/>
        </w:rPr>
        <w:t xml:space="preserve">explain spatio-temporal variation </w:t>
      </w:r>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s,t</m:t>
            </m:r>
          </m:e>
        </m:d>
      </m:oMath>
      <w:r w:rsidR="006955A7">
        <w:rPr>
          <w:rFonts w:ascii="Times New Roman" w:eastAsiaTheme="minorEastAsia" w:hAnsi="Times New Roman" w:cs="Times New Roman"/>
          <w:sz w:val="24"/>
          <w:szCs w:val="24"/>
        </w:rPr>
        <w:t xml:space="preserve">.  </w:t>
      </w:r>
      <w:r w:rsidR="00FD54D3">
        <w:rPr>
          <w:rFonts w:ascii="Times New Roman" w:eastAsiaTheme="minorEastAsia" w:hAnsi="Times New Roman" w:cs="Times New Roman"/>
          <w:sz w:val="24"/>
          <w:szCs w:val="24"/>
        </w:rPr>
        <w:t>W</w:t>
      </w:r>
      <w:r w:rsidR="006A57DC">
        <w:rPr>
          <w:rFonts w:ascii="Times New Roman" w:eastAsiaTheme="minorEastAsia" w:hAnsi="Times New Roman" w:cs="Times New Roman"/>
          <w:sz w:val="24"/>
          <w:szCs w:val="24"/>
        </w:rPr>
        <w:t>h</w:t>
      </w:r>
      <w:r w:rsidR="00FD54D3">
        <w:rPr>
          <w:rFonts w:ascii="Times New Roman" w:eastAsiaTheme="minorEastAsia" w:hAnsi="Times New Roman" w:cs="Times New Roman"/>
          <w:sz w:val="24"/>
          <w:szCs w:val="24"/>
        </w:rPr>
        <w:t>e</w:t>
      </w:r>
      <w:r w:rsidR="006A57DC">
        <w:rPr>
          <w:rFonts w:ascii="Times New Roman" w:eastAsiaTheme="minorEastAsia" w:hAnsi="Times New Roman" w:cs="Times New Roman"/>
          <w:sz w:val="24"/>
          <w:szCs w:val="24"/>
        </w:rPr>
        <w:t>n</w:t>
      </w:r>
      <w:r w:rsidR="00FD54D3">
        <w:rPr>
          <w:rFonts w:ascii="Times New Roman" w:eastAsiaTheme="minorEastAsia" w:hAnsi="Times New Roman" w:cs="Times New Roman"/>
          <w:sz w:val="24"/>
          <w:szCs w:val="24"/>
        </w:rPr>
        <w:t xml:space="preserve"> covariate </w:t>
      </w:r>
      <m:oMath>
        <m:r>
          <w:rPr>
            <w:rFonts w:ascii="Cambria Math" w:eastAsiaTheme="minorEastAsia" w:hAnsi="Cambria Math" w:cs="Times New Roman"/>
            <w:sz w:val="24"/>
            <w:szCs w:val="24"/>
          </w:rPr>
          <m:t>X(t)</m:t>
        </m:r>
      </m:oMath>
      <w:r w:rsidR="00FD54D3">
        <w:rPr>
          <w:rFonts w:ascii="Times New Roman" w:eastAsiaTheme="minorEastAsia" w:hAnsi="Times New Roman" w:cs="Times New Roman"/>
          <w:sz w:val="24"/>
          <w:szCs w:val="24"/>
        </w:rPr>
        <w:t xml:space="preserve"> represents an annual oceanographic index, it will have the same value for all locations in a given year, such that the product </w:t>
      </w:r>
      <m:oMath>
        <m:r>
          <w:rPr>
            <w:rFonts w:ascii="Cambria Math" w:eastAsiaTheme="minorEastAsia" w:hAnsi="Cambria Math" w:cs="Times New Roman"/>
            <w:sz w:val="24"/>
            <w:szCs w:val="24"/>
          </w:rPr>
          <m:t>γX(t)</m:t>
        </m:r>
      </m:oMath>
      <w:r w:rsidR="006A57DC">
        <w:rPr>
          <w:rFonts w:ascii="Times New Roman" w:eastAsiaTheme="minorEastAsia" w:hAnsi="Times New Roman" w:cs="Times New Roman"/>
          <w:sz w:val="24"/>
          <w:szCs w:val="24"/>
        </w:rPr>
        <w:t xml:space="preserve"> will explain variation in intercepts </w:t>
      </w:r>
      <m:oMath>
        <m:r>
          <w:rPr>
            <w:rFonts w:ascii="Cambria Math" w:hAnsi="Cambria Math" w:cs="Times New Roman"/>
            <w:sz w:val="24"/>
            <w:szCs w:val="24"/>
          </w:rPr>
          <m:t>β(t)</m:t>
        </m:r>
      </m:oMath>
      <w:r w:rsidR="006A57DC">
        <w:rPr>
          <w:rFonts w:ascii="Times New Roman" w:eastAsiaTheme="minorEastAsia" w:hAnsi="Times New Roman" w:cs="Times New Roman"/>
          <w:sz w:val="24"/>
          <w:szCs w:val="24"/>
        </w:rPr>
        <w:t xml:space="preserve"> but have no impact on spatial distribution.  We</w:t>
      </w:r>
      <w:r w:rsidR="006955A7">
        <w:rPr>
          <w:rFonts w:ascii="Times New Roman" w:eastAsiaTheme="minorEastAsia" w:hAnsi="Times New Roman" w:cs="Times New Roman"/>
          <w:sz w:val="24"/>
          <w:szCs w:val="24"/>
        </w:rPr>
        <w:t xml:space="preserve"> </w:t>
      </w:r>
      <w:r w:rsidR="000334DF">
        <w:rPr>
          <w:rFonts w:ascii="Times New Roman" w:eastAsiaTheme="minorEastAsia" w:hAnsi="Times New Roman" w:cs="Times New Roman"/>
          <w:sz w:val="24"/>
          <w:szCs w:val="24"/>
        </w:rPr>
        <w:t xml:space="preserve">therefore introduce a </w:t>
      </w:r>
      <w:r w:rsidR="00D509D9">
        <w:rPr>
          <w:rFonts w:ascii="Times New Roman" w:eastAsiaTheme="minorEastAsia" w:hAnsi="Times New Roman" w:cs="Times New Roman"/>
          <w:sz w:val="24"/>
          <w:szCs w:val="24"/>
        </w:rPr>
        <w:t>spatially vary</w:t>
      </w:r>
      <w:r w:rsidR="000334DF">
        <w:rPr>
          <w:rFonts w:ascii="Times New Roman" w:eastAsiaTheme="minorEastAsia" w:hAnsi="Times New Roman" w:cs="Times New Roman"/>
          <w:sz w:val="24"/>
          <w:szCs w:val="24"/>
        </w:rPr>
        <w:t xml:space="preserve">ing coefficient for annual time series </w:t>
      </w:r>
      <m:oMath>
        <m:r>
          <w:rPr>
            <w:rFonts w:ascii="Cambria Math" w:eastAsiaTheme="minorEastAsia" w:hAnsi="Cambria Math" w:cs="Times New Roman"/>
            <w:sz w:val="24"/>
            <w:szCs w:val="24"/>
          </w:rPr>
          <m:t>X(t)</m:t>
        </m:r>
      </m:oMath>
      <w:r w:rsidR="000334DF">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2A5E15" w14:paraId="7192D86F" w14:textId="77777777" w:rsidTr="00FE66B9">
        <w:tc>
          <w:tcPr>
            <w:tcW w:w="8545" w:type="dxa"/>
          </w:tcPr>
          <w:p w14:paraId="352B9622" w14:textId="52760D68" w:rsidR="002A5E15" w:rsidRPr="008220F8" w:rsidRDefault="002A5E15" w:rsidP="00B46FB7">
            <w:pPr>
              <w:tabs>
                <w:tab w:val="left" w:pos="360"/>
              </w:tabs>
              <w:spacing w:line="480" w:lineRule="auto"/>
              <w:rPr>
                <w:rFonts w:ascii="Times New Roman"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s,t</m:t>
                    </m:r>
                  </m:e>
                </m:d>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+ω</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s,t</m:t>
                    </m:r>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m:t>
                        </m:r>
                      </m:sub>
                    </m:sSub>
                    <m:r>
                      <w:rPr>
                        <w:rFonts w:ascii="Cambria Math" w:hAnsi="Cambria Math" w:cs="Times New Roman"/>
                        <w:sz w:val="24"/>
                        <w:szCs w:val="24"/>
                      </w:rPr>
                      <m:t>(s)</m:t>
                    </m:r>
                  </m:e>
                </m:d>
                <m:r>
                  <w:rPr>
                    <w:rFonts w:ascii="Cambria Math" w:hAnsi="Cambria Math" w:cs="Times New Roman"/>
                    <w:sz w:val="24"/>
                    <w:szCs w:val="24"/>
                  </w:rPr>
                  <m:t>X(t)</m:t>
                </m:r>
              </m:oMath>
            </m:oMathPara>
          </w:p>
        </w:tc>
        <w:tc>
          <w:tcPr>
            <w:tcW w:w="805" w:type="dxa"/>
          </w:tcPr>
          <w:p w14:paraId="642B70CA" w14:textId="04780282" w:rsidR="002A5E15" w:rsidRDefault="002A5E15" w:rsidP="00B46FB7">
            <w:pPr>
              <w:tabs>
                <w:tab w:val="left" w:pos="36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(2B)</w:t>
            </w:r>
          </w:p>
        </w:tc>
      </w:tr>
    </w:tbl>
    <w:p w14:paraId="398934C4" w14:textId="05A42AA3" w:rsidR="00965605" w:rsidRDefault="000334DF" w:rsidP="00B46FB7">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In many instances, intercepts </w:t>
      </w:r>
      <m:oMath>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are estimated as fixed effects and in this instance,</w:t>
      </w:r>
      <m:oMath>
        <m:r>
          <w:rPr>
            <w:rFonts w:ascii="Cambria Math" w:hAnsi="Cambria Math" w:cs="Times New Roman"/>
            <w:sz w:val="24"/>
            <w:szCs w:val="24"/>
          </w:rPr>
          <m:t xml:space="preserve"> β</m:t>
        </m:r>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confounded with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X(t)</m:t>
        </m:r>
      </m:oMath>
      <w:r>
        <w:rPr>
          <w:rFonts w:ascii="Times New Roman" w:eastAsiaTheme="minorEastAsia" w:hAnsi="Times New Roman" w:cs="Times New Roman"/>
          <w:sz w:val="24"/>
          <w:szCs w:val="24"/>
        </w:rPr>
        <w:t xml:space="preserve"> such that </w:t>
      </w:r>
      <w:r w:rsidR="00212101">
        <w:rPr>
          <w:rFonts w:ascii="Times New Roman" w:eastAsiaTheme="minorEastAsia" w:hAnsi="Times New Roman" w:cs="Times New Roman"/>
          <w:sz w:val="24"/>
          <w:szCs w:val="24"/>
        </w:rPr>
        <w:t xml:space="preserve">I </w:t>
      </w:r>
      <w:r>
        <w:rPr>
          <w:rFonts w:ascii="Times New Roman" w:eastAsiaTheme="minorEastAsia" w:hAnsi="Times New Roman" w:cs="Times New Roman"/>
          <w:sz w:val="24"/>
          <w:szCs w:val="24"/>
        </w:rPr>
        <w:t xml:space="preserve">specify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hAnsi="Cambria Math" w:cs="Times New Roman"/>
            <w:sz w:val="24"/>
            <w:szCs w:val="24"/>
          </w:rPr>
          <m:t>=0</m:t>
        </m:r>
      </m:oMath>
      <w:r>
        <w:rPr>
          <w:rFonts w:ascii="Times New Roman" w:eastAsiaTheme="minorEastAsia" w:hAnsi="Times New Roman" w:cs="Times New Roman"/>
          <w:sz w:val="24"/>
          <w:szCs w:val="24"/>
        </w:rPr>
        <w:t xml:space="preserve"> to allow intercepts to be identified.  In other instances when </w:t>
      </w:r>
      <m:oMath>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has some </w:t>
      </w:r>
      <w:r w:rsidR="006A57DC">
        <w:rPr>
          <w:rFonts w:ascii="Times New Roman" w:eastAsiaTheme="minorEastAsia" w:hAnsi="Times New Roman" w:cs="Times New Roman"/>
          <w:sz w:val="24"/>
          <w:szCs w:val="24"/>
        </w:rPr>
        <w:t xml:space="preserve">hierarchical </w:t>
      </w:r>
      <w:r>
        <w:rPr>
          <w:rFonts w:ascii="Times New Roman" w:eastAsiaTheme="minorEastAsia" w:hAnsi="Times New Roman" w:cs="Times New Roman"/>
          <w:sz w:val="24"/>
          <w:szCs w:val="24"/>
        </w:rPr>
        <w:t xml:space="preserve">structure </w:t>
      </w:r>
      <w:r w:rsidR="006A57DC">
        <w:rPr>
          <w:rFonts w:ascii="Times New Roman" w:eastAsiaTheme="minorEastAsia" w:hAnsi="Times New Roman" w:cs="Times New Roman"/>
          <w:sz w:val="24"/>
          <w:szCs w:val="24"/>
        </w:rPr>
        <w:t xml:space="preserve">across time </w:t>
      </w:r>
      <w:r>
        <w:rPr>
          <w:rFonts w:ascii="Times New Roman" w:eastAsiaTheme="minorEastAsia" w:hAnsi="Times New Roman" w:cs="Times New Roman"/>
          <w:sz w:val="24"/>
          <w:szCs w:val="24"/>
        </w:rPr>
        <w:t>(e.g., follow</w:t>
      </w:r>
      <w:r w:rsidR="006A57DC">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an autoregressive process) then </w:t>
      </w:r>
      <m:oMath>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can be separately estimated.  </w:t>
      </w:r>
    </w:p>
    <w:p w14:paraId="5B4166E3" w14:textId="02178836" w:rsidR="000334DF" w:rsidRDefault="00965605" w:rsidP="00B46FB7">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Defining </w:t>
      </w:r>
      <m:oMath>
        <m:r>
          <w:rPr>
            <w:rFonts w:ascii="Cambria Math" w:eastAsiaTheme="minorEastAsia" w:hAnsi="Cambria Math" w:cs="Times New Roman"/>
            <w:sz w:val="24"/>
            <w:szCs w:val="24"/>
          </w:rPr>
          <m:t>η</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m:t>
                </m:r>
              </m:sub>
            </m:sSub>
            <m:r>
              <w:rPr>
                <w:rFonts w:ascii="Cambria Math" w:hAnsi="Cambria Math" w:cs="Times New Roman"/>
                <w:sz w:val="24"/>
                <w:szCs w:val="24"/>
              </w:rPr>
              <m:t>(s)</m:t>
            </m:r>
          </m:e>
        </m:d>
        <m:r>
          <w:rPr>
            <w:rFonts w:ascii="Cambria Math" w:hAnsi="Cambria Math" w:cs="Times New Roman"/>
            <w:sz w:val="24"/>
            <w:szCs w:val="24"/>
          </w:rPr>
          <m:t>X(t)</m:t>
        </m:r>
      </m:oMath>
      <w:r>
        <w:rPr>
          <w:rFonts w:ascii="Times New Roman" w:eastAsiaTheme="minorEastAsia" w:hAnsi="Times New Roman" w:cs="Times New Roman"/>
          <w:sz w:val="24"/>
          <w:szCs w:val="24"/>
        </w:rPr>
        <w:t xml:space="preserve">, </w:t>
      </w:r>
      <w:r w:rsidR="00212101">
        <w:rPr>
          <w:rFonts w:ascii="Times New Roman" w:eastAsiaTheme="minorEastAsia" w:hAnsi="Times New Roman" w:cs="Times New Roman"/>
          <w:sz w:val="24"/>
          <w:szCs w:val="24"/>
        </w:rPr>
        <w:t xml:space="preserve">it is apparent </w:t>
      </w:r>
      <w:r>
        <w:rPr>
          <w:rFonts w:ascii="Times New Roman" w:eastAsiaTheme="minorEastAsia" w:hAnsi="Times New Roman" w:cs="Times New Roman"/>
          <w:sz w:val="24"/>
          <w:szCs w:val="24"/>
        </w:rPr>
        <w:t xml:space="preserve">that </w:t>
      </w:r>
      <w:r w:rsidR="00212101">
        <w:rPr>
          <w:rFonts w:ascii="Times New Roman" w:eastAsiaTheme="minorEastAsia" w:hAnsi="Times New Roman" w:cs="Times New Roman"/>
          <w:sz w:val="24"/>
          <w:szCs w:val="24"/>
        </w:rPr>
        <w:t xml:space="preserve">the </w:t>
      </w:r>
      <w:r w:rsidR="00D509D9">
        <w:rPr>
          <w:rFonts w:ascii="Times New Roman" w:eastAsiaTheme="minorEastAsia" w:hAnsi="Times New Roman" w:cs="Times New Roman"/>
          <w:sz w:val="24"/>
          <w:szCs w:val="24"/>
        </w:rPr>
        <w:t>spatially vary</w:t>
      </w:r>
      <w:r>
        <w:rPr>
          <w:rFonts w:ascii="Times New Roman" w:eastAsiaTheme="minorEastAsia" w:hAnsi="Times New Roman" w:cs="Times New Roman"/>
          <w:sz w:val="24"/>
          <w:szCs w:val="24"/>
        </w:rPr>
        <w:t>ing coefficient defines spatio-temporal variation for all locations and times.  I</w:t>
      </w:r>
      <w:r w:rsidR="00170513">
        <w:rPr>
          <w:rFonts w:ascii="Times New Roman" w:eastAsiaTheme="minorEastAsia" w:hAnsi="Times New Roman" w:cs="Times New Roman"/>
          <w:sz w:val="24"/>
          <w:szCs w:val="24"/>
        </w:rPr>
        <w:t xml:space="preserve">f </w:t>
      </w:r>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s,t</m:t>
            </m:r>
          </m:e>
        </m:d>
      </m:oMath>
      <w:r>
        <w:rPr>
          <w:rFonts w:ascii="Times New Roman" w:eastAsiaTheme="minorEastAsia" w:hAnsi="Times New Roman" w:cs="Times New Roman"/>
          <w:sz w:val="24"/>
          <w:szCs w:val="24"/>
        </w:rPr>
        <w:t xml:space="preserve"> </w:t>
      </w:r>
      <w:r w:rsidR="002204AE">
        <w:rPr>
          <w:rFonts w:ascii="Times New Roman" w:eastAsiaTheme="minorEastAsia" w:hAnsi="Times New Roman" w:cs="Times New Roman"/>
          <w:sz w:val="24"/>
          <w:szCs w:val="24"/>
        </w:rPr>
        <w:t xml:space="preserve">and </w:t>
      </w:r>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e>
        </m:d>
      </m:oMath>
      <w:r w:rsidR="002204AE">
        <w:rPr>
          <w:rFonts w:ascii="Times New Roman" w:eastAsiaTheme="minorEastAsia" w:hAnsi="Times New Roman" w:cs="Times New Roman"/>
          <w:sz w:val="24"/>
          <w:szCs w:val="24"/>
        </w:rPr>
        <w:t xml:space="preserve"> </w:t>
      </w:r>
      <w:r w:rsidR="00170513">
        <w:rPr>
          <w:rFonts w:ascii="Times New Roman" w:eastAsiaTheme="minorEastAsia" w:hAnsi="Times New Roman" w:cs="Times New Roman"/>
          <w:sz w:val="24"/>
          <w:szCs w:val="24"/>
        </w:rPr>
        <w:t>in Eq. 2A</w:t>
      </w:r>
      <w:r w:rsidR="002204AE">
        <w:rPr>
          <w:rFonts w:ascii="Times New Roman" w:eastAsiaTheme="minorEastAsia" w:hAnsi="Times New Roman" w:cs="Times New Roman"/>
          <w:sz w:val="24"/>
          <w:szCs w:val="24"/>
        </w:rPr>
        <w:t xml:space="preserve"> are typically similar for any pair of years </w:t>
      </w:r>
      <m:oMath>
        <m:r>
          <w:rPr>
            <w:rFonts w:ascii="Cambria Math" w:eastAsiaTheme="minorEastAsia" w:hAnsi="Cambria Math" w:cs="Times New Roman"/>
            <w:sz w:val="24"/>
            <w:szCs w:val="24"/>
          </w:rPr>
          <m:t>t</m:t>
        </m:r>
      </m:oMath>
      <w:r w:rsidR="002204AE">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oMath>
      <w:r w:rsidR="002204AE">
        <w:rPr>
          <w:rFonts w:ascii="Times New Roman" w:eastAsiaTheme="minorEastAsia" w:hAnsi="Times New Roman" w:cs="Times New Roman"/>
          <w:sz w:val="24"/>
          <w:szCs w:val="24"/>
        </w:rPr>
        <w:t xml:space="preserve"> that have similar values </w:t>
      </w:r>
      <m:oMath>
        <m:r>
          <w:rPr>
            <w:rFonts w:ascii="Cambria Math" w:eastAsiaTheme="minorEastAsia" w:hAnsi="Cambria Math" w:cs="Times New Roman"/>
            <w:sz w:val="24"/>
            <w:szCs w:val="24"/>
          </w:rPr>
          <m:t>X(t)</m:t>
        </m:r>
      </m:oMath>
      <w:r w:rsidR="002204AE">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002204AE">
        <w:rPr>
          <w:rFonts w:ascii="Times New Roman" w:eastAsiaTheme="minorEastAsia" w:hAnsi="Times New Roman" w:cs="Times New Roman"/>
          <w:sz w:val="24"/>
          <w:szCs w:val="24"/>
        </w:rPr>
        <w:t xml:space="preserve"> for annual index </w:t>
      </w:r>
      <m:oMath>
        <m:r>
          <w:rPr>
            <w:rFonts w:ascii="Cambria Math" w:eastAsiaTheme="minorEastAsia" w:hAnsi="Cambria Math" w:cs="Times New Roman"/>
            <w:sz w:val="24"/>
            <w:szCs w:val="24"/>
          </w:rPr>
          <m:t>X</m:t>
        </m:r>
      </m:oMath>
      <w:r w:rsidR="004D65BB">
        <w:rPr>
          <w:rFonts w:ascii="Times New Roman" w:eastAsiaTheme="minorEastAsia" w:hAnsi="Times New Roman" w:cs="Times New Roman"/>
          <w:sz w:val="24"/>
          <w:szCs w:val="24"/>
        </w:rPr>
        <w:t xml:space="preserve">, then estimating </w:t>
      </w:r>
      <m:oMath>
        <m:r>
          <w:rPr>
            <w:rFonts w:ascii="Cambria Math" w:eastAsiaTheme="minorEastAsia" w:hAnsi="Cambria Math" w:cs="Times New Roman"/>
            <w:sz w:val="24"/>
            <w:szCs w:val="24"/>
          </w:rPr>
          <m:t>η</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oMath>
      <w:r w:rsidR="004D65BB">
        <w:rPr>
          <w:rFonts w:ascii="Times New Roman" w:eastAsiaTheme="minorEastAsia" w:hAnsi="Times New Roman" w:cs="Times New Roman"/>
          <w:sz w:val="24"/>
          <w:szCs w:val="24"/>
        </w:rPr>
        <w:t xml:space="preserve"> </w:t>
      </w:r>
      <w:r w:rsidR="002204AE">
        <w:rPr>
          <w:rFonts w:ascii="Times New Roman" w:eastAsiaTheme="minorEastAsia" w:hAnsi="Times New Roman" w:cs="Times New Roman"/>
          <w:sz w:val="24"/>
          <w:szCs w:val="24"/>
        </w:rPr>
        <w:t xml:space="preserve">in Eq. 2B </w:t>
      </w:r>
      <w:r w:rsidR="004D65BB">
        <w:rPr>
          <w:rFonts w:ascii="Times New Roman" w:eastAsiaTheme="minorEastAsia" w:hAnsi="Times New Roman" w:cs="Times New Roman"/>
          <w:sz w:val="24"/>
          <w:szCs w:val="24"/>
        </w:rPr>
        <w:t xml:space="preserve">will explain the variance that would otherwise be attributed to </w:t>
      </w:r>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s,t</m:t>
            </m:r>
          </m:e>
        </m:d>
      </m:oMath>
      <w:r w:rsidR="002A5E15">
        <w:rPr>
          <w:rFonts w:ascii="Times New Roman" w:eastAsiaTheme="minorEastAsia" w:hAnsi="Times New Roman" w:cs="Times New Roman"/>
          <w:sz w:val="24"/>
          <w:szCs w:val="24"/>
        </w:rPr>
        <w:t xml:space="preserve"> in Eq. 2</w:t>
      </w:r>
      <w:r w:rsidR="002204AE">
        <w:rPr>
          <w:rFonts w:ascii="Times New Roman" w:eastAsiaTheme="minorEastAsia" w:hAnsi="Times New Roman" w:cs="Times New Roman"/>
          <w:sz w:val="24"/>
          <w:szCs w:val="24"/>
        </w:rPr>
        <w:t>A</w:t>
      </w:r>
      <w:r w:rsidR="004D65BB">
        <w:rPr>
          <w:rFonts w:ascii="Times New Roman" w:eastAsiaTheme="minorEastAsia" w:hAnsi="Times New Roman" w:cs="Times New Roman"/>
          <w:sz w:val="24"/>
          <w:szCs w:val="24"/>
        </w:rPr>
        <w:t xml:space="preserve">.  </w:t>
      </w:r>
      <w:r w:rsidR="002A5E15">
        <w:rPr>
          <w:rFonts w:ascii="Times New Roman" w:eastAsiaTheme="minorEastAsia" w:hAnsi="Times New Roman" w:cs="Times New Roman"/>
          <w:sz w:val="24"/>
          <w:szCs w:val="24"/>
        </w:rPr>
        <w:t xml:space="preserve">In this sense, then,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m:t>
                </m:r>
              </m:sub>
            </m:sSub>
            <m:r>
              <w:rPr>
                <w:rFonts w:ascii="Cambria Math" w:hAnsi="Cambria Math" w:cs="Times New Roman"/>
                <w:sz w:val="24"/>
                <w:szCs w:val="24"/>
              </w:rPr>
              <m:t>(s)</m:t>
            </m:r>
          </m:e>
        </m:d>
        <m:r>
          <w:rPr>
            <w:rFonts w:ascii="Cambria Math" w:hAnsi="Cambria Math" w:cs="Times New Roman"/>
            <w:sz w:val="24"/>
            <w:szCs w:val="24"/>
          </w:rPr>
          <m:t>X(t)</m:t>
        </m:r>
      </m:oMath>
      <w:r w:rsidR="002A5E15">
        <w:rPr>
          <w:rFonts w:ascii="Times New Roman" w:eastAsiaTheme="minorEastAsia" w:hAnsi="Times New Roman" w:cs="Times New Roman"/>
          <w:sz w:val="24"/>
          <w:szCs w:val="24"/>
        </w:rPr>
        <w:t xml:space="preserve"> defines a linear model for explaining spatio-temporal residuals </w:t>
      </w:r>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s,t</m:t>
            </m:r>
          </m:e>
        </m:d>
      </m:oMath>
      <w:r w:rsidR="002204AE">
        <w:rPr>
          <w:rFonts w:ascii="Times New Roman" w:eastAsiaTheme="minorEastAsia" w:hAnsi="Times New Roman" w:cs="Times New Roman"/>
          <w:sz w:val="24"/>
          <w:szCs w:val="24"/>
        </w:rPr>
        <w:t xml:space="preserve">, and including a spatially varying effect of </w:t>
      </w:r>
      <m:oMath>
        <m:r>
          <w:rPr>
            <w:rFonts w:ascii="Cambria Math" w:hAnsi="Cambria Math" w:cs="Times New Roman"/>
            <w:sz w:val="24"/>
            <w:szCs w:val="24"/>
          </w:rPr>
          <m:t>X(t)</m:t>
        </m:r>
      </m:oMath>
      <w:r w:rsidR="002204AE">
        <w:rPr>
          <w:rFonts w:ascii="Times New Roman" w:eastAsiaTheme="minorEastAsia" w:hAnsi="Times New Roman" w:cs="Times New Roman"/>
          <w:sz w:val="24"/>
          <w:szCs w:val="24"/>
        </w:rPr>
        <w:t xml:space="preserve"> will reduce the variance of residual spatio-temporal variation </w:t>
      </w:r>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s,t</m:t>
            </m:r>
          </m:e>
        </m:d>
      </m:oMath>
      <w:r w:rsidR="002A5E15">
        <w:rPr>
          <w:rFonts w:ascii="Times New Roman" w:eastAsiaTheme="minorEastAsia" w:hAnsi="Times New Roman" w:cs="Times New Roman"/>
          <w:sz w:val="24"/>
          <w:szCs w:val="24"/>
        </w:rPr>
        <w:t xml:space="preserve">.  </w:t>
      </w:r>
    </w:p>
    <w:p w14:paraId="65C28632" w14:textId="7F99C7AB" w:rsidR="00870431" w:rsidRPr="00870431" w:rsidRDefault="00870431" w:rsidP="00B46FB7">
      <w:pPr>
        <w:tabs>
          <w:tab w:val="left" w:pos="360"/>
        </w:tabs>
        <w:spacing w:after="0" w:line="48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Random slope models</w:t>
      </w:r>
    </w:p>
    <w:p w14:paraId="49996647" w14:textId="196B8961" w:rsidR="00170513" w:rsidRDefault="0031081F" w:rsidP="00B46FB7">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170513">
        <w:rPr>
          <w:rFonts w:ascii="Times New Roman" w:hAnsi="Times New Roman" w:cs="Times New Roman"/>
          <w:sz w:val="24"/>
          <w:szCs w:val="24"/>
        </w:rPr>
        <w:t xml:space="preserve">Alternatively, we can interpret </w:t>
      </w:r>
      <w:r w:rsidR="00D509D9">
        <w:rPr>
          <w:rFonts w:ascii="Times New Roman" w:hAnsi="Times New Roman" w:cs="Times New Roman"/>
          <w:sz w:val="24"/>
          <w:szCs w:val="24"/>
        </w:rPr>
        <w:t>spatially vary</w:t>
      </w:r>
      <w:r w:rsidR="00170513">
        <w:rPr>
          <w:rFonts w:ascii="Times New Roman" w:hAnsi="Times New Roman" w:cs="Times New Roman"/>
          <w:sz w:val="24"/>
          <w:szCs w:val="24"/>
        </w:rPr>
        <w:t xml:space="preserve">ing coefficients as a “random slope” model.  Gelman and Hill </w:t>
      </w:r>
      <w:r w:rsidR="00170513">
        <w:rPr>
          <w:rFonts w:ascii="Times New Roman" w:hAnsi="Times New Roman" w:cs="Times New Roman"/>
          <w:sz w:val="24"/>
          <w:szCs w:val="24"/>
        </w:rPr>
        <w:fldChar w:fldCharType="begin"/>
      </w:r>
      <w:r w:rsidR="00170513">
        <w:rPr>
          <w:rFonts w:ascii="Times New Roman" w:hAnsi="Times New Roman" w:cs="Times New Roman"/>
          <w:sz w:val="24"/>
          <w:szCs w:val="24"/>
        </w:rPr>
        <w:instrText xml:space="preserve"> ADDIN ZOTERO_ITEM CSL_CITATION {"citationID":"D9jHGLAa","properties":{"formattedCitation":"(2007)","plainCitation":"(2007)","noteIndex":0},"citationItems":[{"id":368,"uris":["http://zotero.org/users/251206/items/DG7GEK3J"],"uri":["http://zotero.org/users/251206/items/DG7GEK3J"],"itemData":{"id":368,"type":"book","title":"Data analysis using regression and multilevel/hierarchical models","publisher":"Cambridge University Press","publisher-place":"Cambridge, UK","source":"Google Scholar","event-place":"Cambridge, UK","author":[{"family":"Gelman","given":"A."},{"family":"Hill","given":"J."}],"issued":{"date-parts":[["2007"]]}},"suppress-author":true}],"schema":"https://github.com/citation-style-language/schema/raw/master/csl-citation.json"} </w:instrText>
      </w:r>
      <w:r w:rsidR="00170513">
        <w:rPr>
          <w:rFonts w:ascii="Times New Roman" w:hAnsi="Times New Roman" w:cs="Times New Roman"/>
          <w:sz w:val="24"/>
          <w:szCs w:val="24"/>
        </w:rPr>
        <w:fldChar w:fldCharType="separate"/>
      </w:r>
      <w:r w:rsidR="00170513" w:rsidRPr="00170513">
        <w:rPr>
          <w:rFonts w:ascii="Times New Roman" w:hAnsi="Times New Roman" w:cs="Times New Roman"/>
          <w:sz w:val="24"/>
        </w:rPr>
        <w:t>(2007)</w:t>
      </w:r>
      <w:r w:rsidR="00170513">
        <w:rPr>
          <w:rFonts w:ascii="Times New Roman" w:hAnsi="Times New Roman" w:cs="Times New Roman"/>
          <w:sz w:val="24"/>
          <w:szCs w:val="24"/>
        </w:rPr>
        <w:fldChar w:fldCharType="end"/>
      </w:r>
      <w:r w:rsidR="00170513">
        <w:rPr>
          <w:rFonts w:ascii="Times New Roman" w:hAnsi="Times New Roman" w:cs="Times New Roman"/>
          <w:sz w:val="24"/>
          <w:szCs w:val="24"/>
        </w:rPr>
        <w:t xml:space="preserve"> define “random intercept” models as linear models that include random variation in the intercept, i.e., by </w:t>
      </w:r>
      <w:r w:rsidR="00595EEA">
        <w:rPr>
          <w:rFonts w:ascii="Times New Roman" w:hAnsi="Times New Roman" w:cs="Times New Roman"/>
          <w:sz w:val="24"/>
          <w:szCs w:val="24"/>
        </w:rPr>
        <w:t>interpreting</w:t>
      </w:r>
      <w:r w:rsidR="00170513">
        <w:rPr>
          <w:rFonts w:ascii="Times New Roman" w:hAnsi="Times New Roman" w:cs="Times New Roman"/>
          <w:sz w:val="24"/>
          <w:szCs w:val="24"/>
        </w:rPr>
        <w:t xml:space="preserve"> </w:t>
      </w:r>
      <m:oMath>
        <m:r>
          <w:rPr>
            <w:rFonts w:ascii="Cambria Math" w:hAnsi="Cambria Math" w:cs="Times New Roman"/>
            <w:sz w:val="24"/>
            <w:szCs w:val="24"/>
          </w:rPr>
          <m:t>β+ε(s)</m:t>
        </m:r>
      </m:oMath>
      <w:r w:rsidR="00170513">
        <w:rPr>
          <w:rFonts w:ascii="Times New Roman" w:eastAsiaTheme="minorEastAsia" w:hAnsi="Times New Roman" w:cs="Times New Roman"/>
          <w:sz w:val="24"/>
          <w:szCs w:val="24"/>
        </w:rPr>
        <w:t xml:space="preserve"> </w:t>
      </w:r>
      <w:r w:rsidR="00595EEA">
        <w:rPr>
          <w:rFonts w:ascii="Times New Roman" w:eastAsiaTheme="minorEastAsia" w:hAnsi="Times New Roman" w:cs="Times New Roman"/>
          <w:sz w:val="24"/>
          <w:szCs w:val="24"/>
        </w:rPr>
        <w:t xml:space="preserve">in Eq. 1 </w:t>
      </w:r>
      <w:r w:rsidR="00170513">
        <w:rPr>
          <w:rFonts w:ascii="Times New Roman" w:eastAsiaTheme="minorEastAsia" w:hAnsi="Times New Roman" w:cs="Times New Roman"/>
          <w:sz w:val="24"/>
          <w:szCs w:val="24"/>
        </w:rPr>
        <w:t xml:space="preserve">as a </w:t>
      </w:r>
      <w:r w:rsidR="00D509D9">
        <w:rPr>
          <w:rFonts w:ascii="Times New Roman" w:eastAsiaTheme="minorEastAsia" w:hAnsi="Times New Roman" w:cs="Times New Roman"/>
          <w:sz w:val="24"/>
          <w:szCs w:val="24"/>
        </w:rPr>
        <w:t>spatially vary</w:t>
      </w:r>
      <w:r w:rsidR="00170513">
        <w:rPr>
          <w:rFonts w:ascii="Times New Roman" w:eastAsiaTheme="minorEastAsia" w:hAnsi="Times New Roman" w:cs="Times New Roman"/>
          <w:sz w:val="24"/>
          <w:szCs w:val="24"/>
        </w:rPr>
        <w:t xml:space="preserve">ing slope.  </w:t>
      </w:r>
      <w:r w:rsidR="009E053A">
        <w:rPr>
          <w:rFonts w:ascii="Times New Roman" w:eastAsiaTheme="minorEastAsia" w:hAnsi="Times New Roman" w:cs="Times New Roman"/>
          <w:sz w:val="24"/>
          <w:szCs w:val="24"/>
        </w:rPr>
        <w:t xml:space="preserve">In </w:t>
      </w:r>
      <w:r w:rsidR="00170513">
        <w:rPr>
          <w:rFonts w:ascii="Times New Roman" w:eastAsiaTheme="minorEastAsia" w:hAnsi="Times New Roman" w:cs="Times New Roman"/>
          <w:sz w:val="24"/>
          <w:szCs w:val="24"/>
        </w:rPr>
        <w:t xml:space="preserve">contrast, “random slope” models include variation in the slope coefficient, i.e., by treating </w:t>
      </w:r>
      <m:oMath>
        <m:r>
          <w:rPr>
            <w:rFonts w:ascii="Cambria Math" w:hAnsi="Cambria Math" w:cs="Times New Roman"/>
            <w:sz w:val="24"/>
            <w:szCs w:val="24"/>
          </w:rPr>
          <m:t>γ(s)</m:t>
        </m:r>
      </m:oMath>
      <w:r w:rsidR="00170513">
        <w:rPr>
          <w:rFonts w:ascii="Times New Roman" w:eastAsiaTheme="minorEastAsia" w:hAnsi="Times New Roman" w:cs="Times New Roman"/>
          <w:sz w:val="24"/>
          <w:szCs w:val="24"/>
        </w:rPr>
        <w:t xml:space="preserve"> </w:t>
      </w:r>
      <w:r w:rsidR="00170513">
        <w:rPr>
          <w:rFonts w:ascii="Times New Roman" w:eastAsiaTheme="minorEastAsia" w:hAnsi="Times New Roman" w:cs="Times New Roman"/>
          <w:sz w:val="24"/>
          <w:szCs w:val="24"/>
        </w:rPr>
        <w:lastRenderedPageBreak/>
        <w:t>as a spatially</w:t>
      </w:r>
      <w:r w:rsidR="002204AE">
        <w:rPr>
          <w:rFonts w:ascii="Times New Roman" w:eastAsiaTheme="minorEastAsia" w:hAnsi="Times New Roman" w:cs="Times New Roman"/>
          <w:sz w:val="24"/>
          <w:szCs w:val="24"/>
        </w:rPr>
        <w:t xml:space="preserve"> </w:t>
      </w:r>
      <w:r w:rsidR="00170513">
        <w:rPr>
          <w:rFonts w:ascii="Times New Roman" w:eastAsiaTheme="minorEastAsia" w:hAnsi="Times New Roman" w:cs="Times New Roman"/>
          <w:sz w:val="24"/>
          <w:szCs w:val="24"/>
        </w:rPr>
        <w:t>varying slope.  Therefore, defining spatially</w:t>
      </w:r>
      <w:r w:rsidR="002204AE">
        <w:rPr>
          <w:rFonts w:ascii="Times New Roman" w:eastAsiaTheme="minorEastAsia" w:hAnsi="Times New Roman" w:cs="Times New Roman"/>
          <w:sz w:val="24"/>
          <w:szCs w:val="24"/>
        </w:rPr>
        <w:t xml:space="preserve"> </w:t>
      </w:r>
      <w:r w:rsidR="00F20736">
        <w:rPr>
          <w:rFonts w:ascii="Times New Roman" w:eastAsiaTheme="minorEastAsia" w:hAnsi="Times New Roman" w:cs="Times New Roman"/>
          <w:sz w:val="24"/>
          <w:szCs w:val="24"/>
        </w:rPr>
        <w:t xml:space="preserve">varying </w:t>
      </w:r>
      <w:r w:rsidR="00170513">
        <w:rPr>
          <w:rFonts w:ascii="Times New Roman" w:eastAsiaTheme="minorEastAsia" w:hAnsi="Times New Roman" w:cs="Times New Roman"/>
          <w:sz w:val="24"/>
          <w:szCs w:val="24"/>
        </w:rPr>
        <w:t xml:space="preserve">coefficients allows an analyst to </w:t>
      </w:r>
      <w:r w:rsidR="00595EEA">
        <w:rPr>
          <w:rFonts w:ascii="Times New Roman" w:eastAsiaTheme="minorEastAsia" w:hAnsi="Times New Roman" w:cs="Times New Roman"/>
          <w:sz w:val="24"/>
          <w:szCs w:val="24"/>
        </w:rPr>
        <w:t>estimate both a random-intercept and random-slope</w:t>
      </w:r>
      <w:r w:rsidR="00170513">
        <w:rPr>
          <w:rFonts w:ascii="Times New Roman" w:eastAsiaTheme="minorEastAsia" w:hAnsi="Times New Roman" w:cs="Times New Roman"/>
          <w:sz w:val="24"/>
          <w:szCs w:val="24"/>
        </w:rPr>
        <w:t xml:space="preserve"> within SDMs.  </w:t>
      </w:r>
    </w:p>
    <w:p w14:paraId="4874DAAF" w14:textId="65F26938" w:rsidR="00870431" w:rsidRDefault="00870431"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Approximation to functional analysis</w:t>
      </w:r>
    </w:p>
    <w:p w14:paraId="66C3C9EF" w14:textId="044A0A48" w:rsidR="00870431" w:rsidRDefault="0031081F" w:rsidP="00B46FB7">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870431">
        <w:rPr>
          <w:rFonts w:ascii="Times New Roman" w:eastAsiaTheme="minorEastAsia" w:hAnsi="Times New Roman" w:cs="Times New Roman"/>
          <w:sz w:val="24"/>
          <w:szCs w:val="24"/>
        </w:rPr>
        <w:t xml:space="preserve">This </w:t>
      </w:r>
      <w:r w:rsidR="00D509D9">
        <w:rPr>
          <w:rFonts w:ascii="Times New Roman" w:eastAsiaTheme="minorEastAsia" w:hAnsi="Times New Roman" w:cs="Times New Roman"/>
          <w:sz w:val="24"/>
          <w:szCs w:val="24"/>
        </w:rPr>
        <w:t>spatially vary</w:t>
      </w:r>
      <w:r w:rsidR="00870431">
        <w:rPr>
          <w:rFonts w:ascii="Times New Roman" w:eastAsiaTheme="minorEastAsia" w:hAnsi="Times New Roman" w:cs="Times New Roman"/>
          <w:sz w:val="24"/>
          <w:szCs w:val="24"/>
        </w:rPr>
        <w:t xml:space="preserve">ing coefficient model could be generalized by estimating a non-parametric “functional” </w:t>
      </w:r>
      <m:oMath>
        <m:r>
          <w:rPr>
            <w:rFonts w:ascii="Cambria Math" w:eastAsiaTheme="minorEastAsia" w:hAnsi="Cambria Math" w:cs="Times New Roman"/>
            <w:sz w:val="24"/>
            <w:szCs w:val="24"/>
          </w:rPr>
          <m:t>f</m:t>
        </m:r>
      </m:oMath>
      <w:r w:rsidR="00870431">
        <w:rPr>
          <w:rFonts w:ascii="Times New Roman" w:eastAsiaTheme="minorEastAsia" w:hAnsi="Times New Roman" w:cs="Times New Roman"/>
          <w:sz w:val="24"/>
          <w:szCs w:val="24"/>
        </w:rPr>
        <w:t xml:space="preserve"> that takes as input a spatial variable </w:t>
      </w:r>
      <m:oMath>
        <m:r>
          <m:rPr>
            <m:sty m:val="b"/>
          </m:rPr>
          <w:rPr>
            <w:rFonts w:ascii="Cambria Math" w:eastAsiaTheme="minorEastAsia" w:hAnsi="Cambria Math" w:cs="Times New Roman"/>
            <w:sz w:val="24"/>
            <w:szCs w:val="24"/>
          </w:rPr>
          <m:t>X</m:t>
        </m:r>
        <m:r>
          <w:rPr>
            <w:rFonts w:ascii="Cambria Math" w:eastAsiaTheme="minorEastAsia" w:hAnsi="Cambria Math" w:cs="Times New Roman"/>
            <w:sz w:val="24"/>
            <w:szCs w:val="24"/>
          </w:rPr>
          <m:t>(t)</m:t>
        </m:r>
      </m:oMath>
      <w:r w:rsidR="00870431">
        <w:rPr>
          <w:rFonts w:ascii="Times New Roman" w:eastAsiaTheme="minorEastAsia" w:hAnsi="Times New Roman" w:cs="Times New Roman"/>
          <w:sz w:val="24"/>
          <w:szCs w:val="24"/>
        </w:rPr>
        <w:t xml:space="preserve"> in each year and provides as output </w:t>
      </w:r>
      <m:oMath>
        <m:r>
          <m:rPr>
            <m:sty m:val="b"/>
          </m:rPr>
          <w:rPr>
            <w:rFonts w:ascii="Cambria Math" w:eastAsiaTheme="minorEastAsia" w:hAnsi="Cambria Math" w:cs="Times New Roman"/>
            <w:sz w:val="24"/>
            <w:szCs w:val="24"/>
          </w:rPr>
          <m:t>η</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r>
          <m:rPr>
            <m:sty m:val="b"/>
          </m:rP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sidR="00870431">
        <w:rPr>
          <w:rFonts w:ascii="Times New Roman" w:eastAsiaTheme="minorEastAsia" w:hAnsi="Times New Roman" w:cs="Times New Roman"/>
          <w:sz w:val="24"/>
          <w:szCs w:val="24"/>
        </w:rPr>
        <w:t xml:space="preserve">, representing the impact </w:t>
      </w:r>
      <m:oMath>
        <m:r>
          <w:rPr>
            <w:rFonts w:ascii="Cambria Math" w:eastAsiaTheme="minorEastAsia" w:hAnsi="Cambria Math" w:cs="Times New Roman"/>
            <w:sz w:val="24"/>
            <w:szCs w:val="24"/>
          </w:rPr>
          <m:t>η</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oMath>
      <w:r w:rsidR="00870431">
        <w:rPr>
          <w:rFonts w:ascii="Times New Roman" w:eastAsiaTheme="minorEastAsia" w:hAnsi="Times New Roman" w:cs="Times New Roman"/>
          <w:sz w:val="24"/>
          <w:szCs w:val="24"/>
        </w:rPr>
        <w:t xml:space="preserve"> of this variable </w:t>
      </w:r>
      <m:oMath>
        <m:r>
          <m:rPr>
            <m:sty m:val="b"/>
          </m:rPr>
          <w:rPr>
            <w:rFonts w:ascii="Cambria Math" w:eastAsiaTheme="minorEastAsia" w:hAnsi="Cambria Math" w:cs="Times New Roman"/>
            <w:sz w:val="24"/>
            <w:szCs w:val="24"/>
          </w:rPr>
          <m:t>X</m:t>
        </m:r>
        <m:r>
          <w:rPr>
            <w:rFonts w:ascii="Cambria Math" w:eastAsiaTheme="minorEastAsia" w:hAnsi="Cambria Math" w:cs="Times New Roman"/>
            <w:sz w:val="24"/>
            <w:szCs w:val="24"/>
          </w:rPr>
          <m:t>(t)</m:t>
        </m:r>
      </m:oMath>
      <w:r w:rsidR="00870431">
        <w:rPr>
          <w:rFonts w:ascii="Times New Roman" w:eastAsiaTheme="minorEastAsia" w:hAnsi="Times New Roman" w:cs="Times New Roman"/>
          <w:sz w:val="24"/>
          <w:szCs w:val="24"/>
        </w:rPr>
        <w:t xml:space="preserve"> at all locations on population density.  Using this functional, impact </w:t>
      </w:r>
      <m:oMath>
        <m:r>
          <w:rPr>
            <w:rFonts w:ascii="Cambria Math" w:eastAsiaTheme="minorEastAsia" w:hAnsi="Cambria Math" w:cs="Times New Roman"/>
            <w:sz w:val="24"/>
            <w:szCs w:val="24"/>
          </w:rPr>
          <m:t>η</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e>
        </m:d>
      </m:oMath>
      <w:r w:rsidR="00870431">
        <w:rPr>
          <w:rFonts w:ascii="Times New Roman" w:eastAsiaTheme="minorEastAsia" w:hAnsi="Times New Roman" w:cs="Times New Roman"/>
          <w:sz w:val="24"/>
          <w:szCs w:val="24"/>
        </w:rPr>
        <w:t xml:space="preserve"> for a given location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oMath>
      <w:r w:rsidR="00870431">
        <w:rPr>
          <w:rFonts w:ascii="Times New Roman" w:eastAsiaTheme="minorEastAsia" w:hAnsi="Times New Roman" w:cs="Times New Roman"/>
          <w:sz w:val="24"/>
          <w:szCs w:val="24"/>
        </w:rPr>
        <w:t xml:space="preserve"> depends upon the value of </w:t>
      </w:r>
      <m:oMath>
        <m:r>
          <m:rPr>
            <m:sty m:val="b"/>
          </m:rPr>
          <w:rPr>
            <w:rFonts w:ascii="Cambria Math" w:eastAsiaTheme="minorEastAsia" w:hAnsi="Cambria Math" w:cs="Times New Roman"/>
            <w:sz w:val="24"/>
            <w:szCs w:val="24"/>
          </w:rPr>
          <m:t>X</m:t>
        </m:r>
        <m:r>
          <w:rPr>
            <w:rFonts w:ascii="Cambria Math" w:eastAsiaTheme="minorEastAsia" w:hAnsi="Cambria Math" w:cs="Times New Roman"/>
            <w:sz w:val="24"/>
            <w:szCs w:val="24"/>
          </w:rPr>
          <m:t>(t)</m:t>
        </m:r>
      </m:oMath>
      <w:r w:rsidR="00870431">
        <w:rPr>
          <w:rFonts w:ascii="Times New Roman" w:eastAsiaTheme="minorEastAsia" w:hAnsi="Times New Roman" w:cs="Times New Roman"/>
          <w:sz w:val="24"/>
          <w:szCs w:val="24"/>
        </w:rPr>
        <w:t xml:space="preserve"> at all locations</w:t>
      </w:r>
      <w:r w:rsidR="004611FF">
        <w:rPr>
          <w:rFonts w:ascii="Times New Roman" w:eastAsiaTheme="minorEastAsia" w:hAnsi="Times New Roman" w:cs="Times New Roman"/>
          <w:sz w:val="24"/>
          <w:szCs w:val="24"/>
        </w:rPr>
        <w:t>,</w:t>
      </w:r>
      <w:r w:rsidR="00870431">
        <w:rPr>
          <w:rFonts w:ascii="Times New Roman" w:eastAsiaTheme="minorEastAsia" w:hAnsi="Times New Roman" w:cs="Times New Roman"/>
          <w:sz w:val="24"/>
          <w:szCs w:val="24"/>
        </w:rPr>
        <w:t xml:space="preserve"> including geographically distant locations, and not simply upon </w:t>
      </w:r>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sidR="00870431">
        <w:rPr>
          <w:rFonts w:ascii="Times New Roman" w:eastAsiaTheme="minorEastAsia" w:hAnsi="Times New Roman" w:cs="Times New Roman"/>
          <w:sz w:val="24"/>
          <w:szCs w:val="24"/>
        </w:rPr>
        <w:t xml:space="preserve"> at that location.  However, functional </w:t>
      </w:r>
      <m:oMath>
        <m:r>
          <w:rPr>
            <w:rFonts w:ascii="Cambria Math" w:eastAsiaTheme="minorEastAsia" w:hAnsi="Cambria Math" w:cs="Times New Roman"/>
            <w:sz w:val="24"/>
            <w:szCs w:val="24"/>
          </w:rPr>
          <m:t>f</m:t>
        </m:r>
      </m:oMath>
      <w:r w:rsidR="00870431">
        <w:rPr>
          <w:rFonts w:ascii="Times New Roman" w:eastAsiaTheme="minorEastAsia" w:hAnsi="Times New Roman" w:cs="Times New Roman"/>
          <w:sz w:val="24"/>
          <w:szCs w:val="24"/>
        </w:rPr>
        <w:t xml:space="preserve"> is many-to-many and methods exist to simplify </w:t>
      </w:r>
      <m:oMath>
        <m:r>
          <w:rPr>
            <w:rFonts w:ascii="Cambria Math" w:eastAsiaTheme="minorEastAsia" w:hAnsi="Cambria Math" w:cs="Times New Roman"/>
            <w:sz w:val="24"/>
            <w:szCs w:val="24"/>
          </w:rPr>
          <m:t>f</m:t>
        </m:r>
      </m:oMath>
      <w:r w:rsidR="00870431">
        <w:rPr>
          <w:rFonts w:ascii="Times New Roman" w:eastAsiaTheme="minorEastAsia" w:hAnsi="Times New Roman" w:cs="Times New Roman"/>
          <w:sz w:val="24"/>
          <w:szCs w:val="24"/>
        </w:rPr>
        <w:t xml:space="preserve">. For example, autoencoders apply a function </w:t>
      </w:r>
      <m:oMath>
        <m:r>
          <m:rPr>
            <m:sty m:val="b"/>
          </m:rP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=g(</m:t>
        </m:r>
        <m:r>
          <m:rPr>
            <m:sty m:val="b"/>
          </m:rP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sidR="00870431">
        <w:rPr>
          <w:rFonts w:ascii="Times New Roman" w:eastAsiaTheme="minorEastAsia" w:hAnsi="Times New Roman" w:cs="Times New Roman"/>
          <w:sz w:val="24"/>
          <w:szCs w:val="24"/>
        </w:rPr>
        <w:t xml:space="preserve"> to compress variable </w:t>
      </w:r>
      <m:oMath>
        <m:r>
          <m:rPr>
            <m:sty m:val="b"/>
          </m:rP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870431">
        <w:rPr>
          <w:rFonts w:ascii="Times New Roman" w:eastAsiaTheme="minorEastAsia" w:hAnsi="Times New Roman" w:cs="Times New Roman"/>
          <w:sz w:val="24"/>
          <w:szCs w:val="24"/>
        </w:rPr>
        <w:t xml:space="preserve"> to a smaller set of features </w:t>
      </w:r>
      <m:oMath>
        <m:r>
          <m:rPr>
            <m:sty m:val="b"/>
          </m:rP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870431">
        <w:rPr>
          <w:rFonts w:ascii="Times New Roman" w:eastAsiaTheme="minorEastAsia" w:hAnsi="Times New Roman" w:cs="Times New Roman"/>
          <w:sz w:val="24"/>
          <w:szCs w:val="24"/>
        </w:rPr>
        <w:t xml:space="preserve">, and then a function </w:t>
      </w:r>
      <m:oMath>
        <m:r>
          <m:rPr>
            <m:sty m:val="b"/>
          </m:rPr>
          <w:rPr>
            <w:rFonts w:ascii="Cambria Math" w:eastAsiaTheme="minorEastAsia" w:hAnsi="Cambria Math" w:cs="Times New Roman"/>
            <w:sz w:val="24"/>
            <w:szCs w:val="24"/>
          </w:rPr>
          <m:t>η</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=h(</m:t>
        </m:r>
        <m:r>
          <m:rPr>
            <m:sty m:val="b"/>
          </m:rP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sidR="00595EEA">
        <w:rPr>
          <w:rFonts w:ascii="Times New Roman" w:eastAsiaTheme="minorEastAsia" w:hAnsi="Times New Roman" w:cs="Times New Roman"/>
          <w:sz w:val="24"/>
          <w:szCs w:val="24"/>
        </w:rPr>
        <w:t xml:space="preserve"> to project those features on their impact, and is it immediately obvious that functional </w:t>
      </w:r>
      <m:oMath>
        <m:r>
          <w:rPr>
            <w:rFonts w:ascii="Cambria Math" w:eastAsiaTheme="minorEastAsia" w:hAnsi="Cambria Math" w:cs="Times New Roman"/>
            <w:sz w:val="24"/>
            <w:szCs w:val="24"/>
          </w:rPr>
          <m:t>f=h∘g</m:t>
        </m:r>
      </m:oMath>
      <w:r w:rsidR="00595EEA">
        <w:rPr>
          <w:rFonts w:ascii="Times New Roman" w:eastAsiaTheme="minorEastAsia" w:hAnsi="Times New Roman" w:cs="Times New Roman"/>
          <w:sz w:val="24"/>
          <w:szCs w:val="24"/>
        </w:rPr>
        <w:t>.  Given this expanded notation, our spatially</w:t>
      </w:r>
      <w:r w:rsidR="002204AE">
        <w:rPr>
          <w:rFonts w:ascii="Times New Roman" w:eastAsiaTheme="minorEastAsia" w:hAnsi="Times New Roman" w:cs="Times New Roman"/>
          <w:sz w:val="24"/>
          <w:szCs w:val="24"/>
        </w:rPr>
        <w:t xml:space="preserve"> varying </w:t>
      </w:r>
      <w:r w:rsidR="00E27752">
        <w:rPr>
          <w:rFonts w:ascii="Times New Roman" w:eastAsiaTheme="minorEastAsia" w:hAnsi="Times New Roman" w:cs="Times New Roman"/>
          <w:sz w:val="24"/>
          <w:szCs w:val="24"/>
        </w:rPr>
        <w:t>coefficient</w:t>
      </w:r>
      <w:r w:rsidR="00595EE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oMath>
      <w:r w:rsidR="00595EEA">
        <w:rPr>
          <w:rFonts w:ascii="Times New Roman" w:eastAsiaTheme="minorEastAsia" w:hAnsi="Times New Roman" w:cs="Times New Roman"/>
          <w:sz w:val="24"/>
          <w:szCs w:val="24"/>
        </w:rPr>
        <w:t xml:space="preserve"> represents the projection function </w:t>
      </w:r>
      <m:oMath>
        <m:r>
          <w:rPr>
            <w:rFonts w:ascii="Cambria Math" w:eastAsiaTheme="minorEastAsia" w:hAnsi="Cambria Math" w:cs="Times New Roman"/>
            <w:sz w:val="24"/>
            <w:szCs w:val="24"/>
          </w:rPr>
          <m:t>h</m:t>
        </m:r>
      </m:oMath>
      <w:r w:rsidR="00595EEA">
        <w:rPr>
          <w:rFonts w:ascii="Times New Roman" w:eastAsiaTheme="minorEastAsia" w:hAnsi="Times New Roman" w:cs="Times New Roman"/>
          <w:sz w:val="24"/>
          <w:szCs w:val="24"/>
        </w:rPr>
        <w:t xml:space="preserve">, while an annual index (e.g., the Pacific Decadal Oscillation, PDO) is typically calculated as a compression </w:t>
      </w:r>
      <m:oMath>
        <m:r>
          <w:rPr>
            <w:rFonts w:ascii="Cambria Math" w:eastAsiaTheme="minorEastAsia" w:hAnsi="Cambria Math" w:cs="Times New Roman"/>
            <w:sz w:val="24"/>
            <w:szCs w:val="24"/>
          </w:rPr>
          <m:t>g</m:t>
        </m:r>
      </m:oMath>
      <w:r w:rsidR="00595EEA">
        <w:rPr>
          <w:rFonts w:ascii="Times New Roman" w:eastAsiaTheme="minorEastAsia" w:hAnsi="Times New Roman" w:cs="Times New Roman"/>
          <w:sz w:val="24"/>
          <w:szCs w:val="24"/>
        </w:rPr>
        <w:t xml:space="preserve"> of some spatially</w:t>
      </w:r>
      <w:r w:rsidR="00E27752">
        <w:rPr>
          <w:rFonts w:ascii="Times New Roman" w:eastAsiaTheme="minorEastAsia" w:hAnsi="Times New Roman" w:cs="Times New Roman"/>
          <w:sz w:val="24"/>
          <w:szCs w:val="24"/>
        </w:rPr>
        <w:t xml:space="preserve"> </w:t>
      </w:r>
      <w:r w:rsidR="00595EEA">
        <w:rPr>
          <w:rFonts w:ascii="Times New Roman" w:eastAsiaTheme="minorEastAsia" w:hAnsi="Times New Roman" w:cs="Times New Roman"/>
          <w:sz w:val="24"/>
          <w:szCs w:val="24"/>
        </w:rPr>
        <w:t xml:space="preserve">varying measurements (e.g., surface temperature in the North Pacific for the PDO).  For example, the cold-pool extent in the Eastern Bering Sea is defined as the total area with bottom temperatures less than or equal to </w:t>
      </w:r>
      <m:oMath>
        <m:r>
          <w:rPr>
            <w:rFonts w:ascii="Cambria Math" w:eastAsiaTheme="minorEastAsia" w:hAnsi="Cambria Math" w:cs="Times New Roman"/>
            <w:sz w:val="24"/>
            <w:szCs w:val="24"/>
          </w:rPr>
          <m:t>2°</m:t>
        </m:r>
      </m:oMath>
      <w:r w:rsidR="00595EEA">
        <w:rPr>
          <w:rFonts w:ascii="Times New Roman" w:eastAsiaTheme="minorEastAsia" w:hAnsi="Times New Roman" w:cs="Times New Roman"/>
          <w:sz w:val="24"/>
          <w:szCs w:val="24"/>
        </w:rPr>
        <w:t xml:space="preserve"> C, and can be calculated from </w:t>
      </w:r>
      <w:r>
        <w:rPr>
          <w:rFonts w:ascii="Times New Roman" w:eastAsiaTheme="minorEastAsia" w:hAnsi="Times New Roman" w:cs="Times New Roman"/>
          <w:sz w:val="24"/>
          <w:szCs w:val="24"/>
        </w:rPr>
        <w:t xml:space="preserve">inputted </w:t>
      </w:r>
      <w:r w:rsidR="00595EEA">
        <w:rPr>
          <w:rFonts w:ascii="Times New Roman" w:eastAsiaTheme="minorEastAsia" w:hAnsi="Times New Roman" w:cs="Times New Roman"/>
          <w:sz w:val="24"/>
          <w:szCs w:val="24"/>
        </w:rPr>
        <w:t xml:space="preserve">bottom temperatures </w:t>
      </w:r>
      <m:oMath>
        <m:r>
          <w:rPr>
            <w:rFonts w:ascii="Cambria Math" w:eastAsiaTheme="minorEastAsia" w:hAnsi="Cambria Math" w:cs="Times New Roman"/>
            <w:sz w:val="24"/>
            <w:szCs w:val="24"/>
          </w:rPr>
          <m:t>T(s,t)</m:t>
        </m:r>
      </m:oMath>
      <w:r w:rsidR="00595EEA">
        <w:rPr>
          <w:rFonts w:ascii="Times New Roman" w:eastAsiaTheme="minorEastAsia" w:hAnsi="Times New Roman" w:cs="Times New Roman"/>
          <w:sz w:val="24"/>
          <w:szCs w:val="24"/>
        </w:rPr>
        <w:t xml:space="preserve"> by</w:t>
      </w:r>
      <w:r w:rsidR="00E27752">
        <w:rPr>
          <w:rFonts w:ascii="Times New Roman" w:eastAsiaTheme="minorEastAsia" w:hAnsi="Times New Roman" w:cs="Times New Roman"/>
          <w:sz w:val="24"/>
          <w:szCs w:val="24"/>
        </w:rPr>
        <w:t xml:space="preserve"> compression</w:t>
      </w:r>
      <w:r w:rsidR="00595EEA">
        <w:rPr>
          <w:rFonts w:ascii="Times New Roman" w:eastAsiaTheme="minorEastAsia" w:hAnsi="Times New Roman" w:cs="Times New Roman"/>
          <w:sz w:val="24"/>
          <w:szCs w:val="24"/>
        </w:rPr>
        <w:t xml:space="preserve"> function </w:t>
      </w:r>
      <m:oMath>
        <m:r>
          <w:rPr>
            <w:rFonts w:ascii="Cambria Math" w:hAnsi="Cambria Math" w:cs="Times New Roman"/>
            <w:sz w:val="24"/>
            <w:szCs w:val="24"/>
          </w:rPr>
          <m:t>g</m:t>
        </m:r>
        <m:d>
          <m:dPr>
            <m:ctrlPr>
              <w:rPr>
                <w:rFonts w:ascii="Cambria Math" w:hAnsi="Cambria Math" w:cs="Times New Roman"/>
                <w:i/>
                <w:sz w:val="24"/>
                <w:szCs w:val="24"/>
              </w:rPr>
            </m:ctrlPr>
          </m:dPr>
          <m:e>
            <m:r>
              <m:rPr>
                <m:sty m:val="b"/>
              </m:rP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sup>
          <m:e>
            <m:r>
              <w:rPr>
                <w:rFonts w:ascii="Cambria Math" w:hAnsi="Cambria Math" w:cs="Times New Roman"/>
                <w:sz w:val="24"/>
                <w:szCs w:val="24"/>
              </w:rPr>
              <m:t>I(T</m:t>
            </m:r>
            <m:d>
              <m:dPr>
                <m:ctrlPr>
                  <w:rPr>
                    <w:rFonts w:ascii="Cambria Math" w:hAnsi="Cambria Math" w:cs="Times New Roman"/>
                    <w:i/>
                    <w:sz w:val="24"/>
                    <w:szCs w:val="24"/>
                  </w:rPr>
                </m:ctrlPr>
              </m:dPr>
              <m:e>
                <m:r>
                  <w:rPr>
                    <w:rFonts w:ascii="Cambria Math" w:hAnsi="Cambria Math" w:cs="Times New Roman"/>
                    <w:sz w:val="24"/>
                    <w:szCs w:val="24"/>
                  </w:rPr>
                  <m:t>s,t</m:t>
                </m:r>
              </m:e>
            </m:d>
            <m:r>
              <w:rPr>
                <w:rFonts w:ascii="Cambria Math" w:hAnsi="Cambria Math" w:cs="Times New Roman"/>
                <w:sz w:val="24"/>
                <w:szCs w:val="24"/>
              </w:rPr>
              <m:t>≤2°)</m:t>
            </m:r>
          </m:e>
        </m:nary>
      </m:oMath>
      <w:r w:rsidR="00E27752">
        <w:rPr>
          <w:rFonts w:ascii="Times New Roman" w:eastAsiaTheme="minorEastAsia" w:hAnsi="Times New Roman" w:cs="Times New Roman"/>
          <w:sz w:val="24"/>
          <w:szCs w:val="24"/>
        </w:rPr>
        <w:t xml:space="preserve"> where </w:t>
      </w:r>
      <m:oMath>
        <m:r>
          <w:rPr>
            <w:rFonts w:ascii="Cambria Math" w:hAnsi="Cambria Math" w:cs="Times New Roman"/>
            <w:sz w:val="24"/>
            <w:szCs w:val="24"/>
          </w:rPr>
          <m:t>I(T</m:t>
        </m:r>
        <m:d>
          <m:dPr>
            <m:ctrlPr>
              <w:rPr>
                <w:rFonts w:ascii="Cambria Math" w:hAnsi="Cambria Math" w:cs="Times New Roman"/>
                <w:i/>
                <w:sz w:val="24"/>
                <w:szCs w:val="24"/>
              </w:rPr>
            </m:ctrlPr>
          </m:dPr>
          <m:e>
            <m:r>
              <w:rPr>
                <w:rFonts w:ascii="Cambria Math" w:hAnsi="Cambria Math" w:cs="Times New Roman"/>
                <w:sz w:val="24"/>
                <w:szCs w:val="24"/>
              </w:rPr>
              <m:t>s,t</m:t>
            </m:r>
          </m:e>
        </m:d>
        <m:r>
          <w:rPr>
            <w:rFonts w:ascii="Cambria Math" w:hAnsi="Cambria Math" w:cs="Times New Roman"/>
            <w:sz w:val="24"/>
            <w:szCs w:val="24"/>
          </w:rPr>
          <m:t>≤2°)</m:t>
        </m:r>
      </m:oMath>
      <w:r w:rsidR="00E27752">
        <w:rPr>
          <w:rFonts w:ascii="Times New Roman" w:eastAsiaTheme="minorEastAsia" w:hAnsi="Times New Roman" w:cs="Times New Roman"/>
          <w:sz w:val="24"/>
          <w:szCs w:val="24"/>
        </w:rPr>
        <w:t xml:space="preserve"> is an indicator function that equals one if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s,t</m:t>
            </m:r>
          </m:e>
        </m:d>
        <m:r>
          <w:rPr>
            <w:rFonts w:ascii="Cambria Math" w:hAnsi="Cambria Math" w:cs="Times New Roman"/>
            <w:sz w:val="24"/>
            <w:szCs w:val="24"/>
          </w:rPr>
          <m:t>≤2°</m:t>
        </m:r>
      </m:oMath>
      <w:r w:rsidR="00E27752">
        <w:rPr>
          <w:rFonts w:ascii="Times New Roman" w:eastAsiaTheme="minorEastAsia" w:hAnsi="Times New Roman" w:cs="Times New Roman"/>
          <w:sz w:val="24"/>
          <w:szCs w:val="24"/>
        </w:rPr>
        <w:t xml:space="preserve"> and zero otherwise</w:t>
      </w:r>
      <w:r w:rsidR="00595EEA">
        <w:rPr>
          <w:rFonts w:ascii="Times New Roman" w:eastAsiaTheme="minorEastAsia" w:hAnsi="Times New Roman" w:cs="Times New Roman"/>
          <w:sz w:val="24"/>
          <w:szCs w:val="24"/>
        </w:rPr>
        <w:t xml:space="preserve">.  </w:t>
      </w:r>
    </w:p>
    <w:p w14:paraId="77571A5A" w14:textId="64653B73" w:rsidR="00B82CC1" w:rsidRPr="007E5158" w:rsidRDefault="007E5158" w:rsidP="00B46FB7">
      <w:pPr>
        <w:tabs>
          <w:tab w:val="left" w:pos="360"/>
        </w:tabs>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Including </w:t>
      </w:r>
      <w:r w:rsidR="00D509D9">
        <w:rPr>
          <w:rFonts w:ascii="Times New Roman" w:hAnsi="Times New Roman" w:cs="Times New Roman"/>
          <w:b/>
          <w:sz w:val="24"/>
          <w:szCs w:val="24"/>
        </w:rPr>
        <w:t>spatially vary</w:t>
      </w:r>
      <w:r>
        <w:rPr>
          <w:rFonts w:ascii="Times New Roman" w:hAnsi="Times New Roman" w:cs="Times New Roman"/>
          <w:b/>
          <w:sz w:val="24"/>
          <w:szCs w:val="24"/>
        </w:rPr>
        <w:t xml:space="preserve">ing coefficients in </w:t>
      </w:r>
      <w:r w:rsidRPr="00E27752">
        <w:rPr>
          <w:rFonts w:ascii="Times New Roman" w:hAnsi="Times New Roman"/>
          <w:b/>
          <w:sz w:val="24"/>
        </w:rPr>
        <w:t>VAST</w:t>
      </w:r>
    </w:p>
    <w:p w14:paraId="165AEE8C" w14:textId="03333986" w:rsidR="004D65BB" w:rsidRDefault="00017FDA"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2B27E0">
        <w:rPr>
          <w:rFonts w:ascii="Times New Roman" w:hAnsi="Times New Roman" w:cs="Times New Roman"/>
          <w:sz w:val="24"/>
          <w:szCs w:val="24"/>
        </w:rPr>
        <w:t xml:space="preserve">In the following, </w:t>
      </w:r>
      <w:r w:rsidR="00212101">
        <w:rPr>
          <w:rFonts w:ascii="Times New Roman" w:hAnsi="Times New Roman" w:cs="Times New Roman"/>
          <w:sz w:val="24"/>
          <w:szCs w:val="24"/>
        </w:rPr>
        <w:t xml:space="preserve">I </w:t>
      </w:r>
      <w:r w:rsidR="002B27E0">
        <w:rPr>
          <w:rFonts w:ascii="Times New Roman" w:hAnsi="Times New Roman" w:cs="Times New Roman"/>
          <w:sz w:val="24"/>
          <w:szCs w:val="24"/>
        </w:rPr>
        <w:t xml:space="preserve">will analyze biomass-sampling data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sidR="002B27E0">
        <w:rPr>
          <w:rFonts w:ascii="Times New Roman" w:hAnsi="Times New Roman" w:cs="Times New Roman"/>
          <w:sz w:val="24"/>
          <w:szCs w:val="24"/>
        </w:rPr>
        <w:t xml:space="preserve"> using a delta model</w:t>
      </w:r>
      <w:r w:rsidR="00B46A67">
        <w:rPr>
          <w:rFonts w:ascii="Times New Roman" w:hAnsi="Times New Roman" w:cs="Times New Roman"/>
          <w:sz w:val="24"/>
          <w:szCs w:val="24"/>
        </w:rPr>
        <w:t xml:space="preserve"> in the R package </w:t>
      </w:r>
      <w:r w:rsidR="00B46A67" w:rsidRPr="00E27752">
        <w:rPr>
          <w:rFonts w:ascii="Times New Roman" w:hAnsi="Times New Roman" w:cs="Times New Roman"/>
          <w:i/>
          <w:sz w:val="24"/>
          <w:szCs w:val="24"/>
        </w:rPr>
        <w:t>VAST</w:t>
      </w:r>
      <w:r w:rsidR="002B27E0">
        <w:rPr>
          <w:rFonts w:ascii="Times New Roman" w:hAnsi="Times New Roman" w:cs="Times New Roman"/>
          <w:sz w:val="24"/>
          <w:szCs w:val="24"/>
        </w:rPr>
        <w:t>:</w:t>
      </w:r>
    </w:p>
    <w:p w14:paraId="65F95DD5" w14:textId="783C0282" w:rsidR="002B27E0" w:rsidRDefault="007F3C05" w:rsidP="00B46FB7">
      <w:pPr>
        <w:tabs>
          <w:tab w:val="left" w:pos="360"/>
        </w:tabs>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1-p(i)</m:t>
                    </m:r>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r>
                      <w:rPr>
                        <w:rFonts w:ascii="Cambria Math" w:eastAsiaTheme="minorEastAsia" w:hAnsi="Cambria Math" w:cs="Times New Roman"/>
                        <w:sz w:val="24"/>
                        <w:szCs w:val="24"/>
                      </w:rPr>
                      <m:t>p(i)×g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B|r</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73B62725" w14:textId="2B597467" w:rsidR="002B27E0" w:rsidRDefault="002B27E0" w:rsidP="00B46FB7">
      <w:pPr>
        <w:tabs>
          <w:tab w:val="left" w:pos="360"/>
        </w:tabs>
        <w:spacing w:after="0" w:line="480" w:lineRule="auto"/>
        <w:rPr>
          <w:rFonts w:ascii="Times New Roman" w:eastAsiaTheme="minorEastAsia" w:hAnsi="Times New Roman" w:cs="Times New Roman"/>
          <w:iCs/>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p(i)</m:t>
        </m:r>
      </m:oMath>
      <w:r>
        <w:rPr>
          <w:rFonts w:ascii="Times New Roman" w:eastAsiaTheme="minorEastAsia" w:hAnsi="Times New Roman" w:cs="Times New Roman"/>
          <w:sz w:val="24"/>
          <w:szCs w:val="24"/>
        </w:rPr>
        <w:t xml:space="preserve"> is predicted encounter probability </w:t>
      </w:r>
      <w:r w:rsidR="009734D7">
        <w:rPr>
          <w:rFonts w:ascii="Times New Roman" w:eastAsiaTheme="minorEastAsia" w:hAnsi="Times New Roman" w:cs="Times New Roman"/>
          <w:sz w:val="24"/>
          <w:szCs w:val="24"/>
        </w:rPr>
        <w:t xml:space="preserve">for observation </w:t>
      </w:r>
      <m:oMath>
        <m:r>
          <w:rPr>
            <w:rFonts w:ascii="Cambria Math" w:eastAsiaTheme="minorEastAsia" w:hAnsi="Cambria Math" w:cs="Times New Roman"/>
            <w:sz w:val="24"/>
            <w:szCs w:val="24"/>
          </w:rPr>
          <m:t>i</m:t>
        </m:r>
      </m:oMath>
      <w:r w:rsidR="009734D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predicted biomass given an encounter</w:t>
      </w:r>
      <w:r w:rsidR="009734D7">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g()</m:t>
        </m:r>
      </m:oMath>
      <w:r w:rsidR="009734D7">
        <w:rPr>
          <w:rFonts w:ascii="Times New Roman" w:eastAsiaTheme="minorEastAsia" w:hAnsi="Times New Roman" w:cs="Times New Roman"/>
          <w:iCs/>
          <w:sz w:val="24"/>
          <w:szCs w:val="24"/>
        </w:rPr>
        <w:t xml:space="preserve"> is a probability density function for positive catches,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sidR="009734D7">
        <w:rPr>
          <w:rFonts w:ascii="Times New Roman" w:eastAsiaTheme="minorEastAsia" w:hAnsi="Times New Roman" w:cs="Times New Roman"/>
          <w:sz w:val="24"/>
          <w:szCs w:val="24"/>
        </w:rPr>
        <w:t xml:space="preserve"> is the residual (“measurement”) variance for samples for category </w:t>
      </w:r>
      <m:oMath>
        <m:r>
          <w:rPr>
            <w:rFonts w:ascii="Cambria Math" w:eastAsiaTheme="minorEastAsia" w:hAnsi="Cambria Math" w:cs="Times New Roman"/>
            <w:sz w:val="24"/>
            <w:szCs w:val="24"/>
          </w:rPr>
          <m:t>c</m:t>
        </m:r>
      </m:oMath>
      <w:r w:rsidR="009734D7">
        <w:rPr>
          <w:rFonts w:ascii="Times New Roman" w:eastAsiaTheme="minorEastAsia" w:hAnsi="Times New Roman" w:cs="Times New Roman"/>
          <w:sz w:val="24"/>
          <w:szCs w:val="24"/>
        </w:rPr>
        <w:t xml:space="preserve"> (where categories could represent, e.g., multiple species within a multispecies model)</w:t>
      </w:r>
      <w:r>
        <w:rPr>
          <w:rFonts w:ascii="Times New Roman" w:eastAsiaTheme="minorEastAsia" w:hAnsi="Times New Roman" w:cs="Times New Roman"/>
          <w:iCs/>
          <w:sz w:val="24"/>
          <w:szCs w:val="24"/>
        </w:rPr>
        <w:t xml:space="preserve">.  We specifically use a Poisson-link delta model </w:t>
      </w:r>
      <w:r w:rsidR="005C2011">
        <w:rPr>
          <w:rFonts w:ascii="Times New Roman" w:eastAsiaTheme="minorEastAsia" w:hAnsi="Times New Roman" w:cs="Times New Roman"/>
          <w:iCs/>
          <w:sz w:val="24"/>
          <w:szCs w:val="24"/>
        </w:rPr>
        <w:fldChar w:fldCharType="begin"/>
      </w:r>
      <w:r w:rsidR="005C2011">
        <w:rPr>
          <w:rFonts w:ascii="Times New Roman" w:eastAsiaTheme="minorEastAsia" w:hAnsi="Times New Roman" w:cs="Times New Roman"/>
          <w:iCs/>
          <w:sz w:val="24"/>
          <w:szCs w:val="24"/>
        </w:rPr>
        <w:instrText xml:space="preserve"> ADDIN ZOTERO_ITEM CSL_CITATION {"citationID":"qhflO2XE","properties":{"formattedCitation":"(Thorson, 2017)","plainCitation":"(Thorson, 2017)","noteIndex":0},"citationItems":[{"id":4848,"uris":["http://zotero.org/users/251206/items/ZUAIPAMZ"],"uri":["http://zotero.org/users/251206/items/ZUAIPAMZ"],"itemData":{"id":4848,"type":"article-journal","title":"Three problems with the conventional delta-model for biomass sampling data, and a computationally efficient alternative","container-title":"Canadian Journal of Fisheries and Aquatic Sciences","page":"1369-1382","volume":"75","issue":"9","source":"NRC Research Press","abstract":"Ecologists often analyse biomass sampling data that result in many zeros, where remaining samples can take any positive real number. Samples are often analysed using a “delta-model”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 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 Les écologistes analysent souvent des données d’échantillonnage de la biomasse qui donnent de nombreux zéros, les échantillons restants pouvant prendre n’importe quel nombre réel positif. Les échantillons sont souvent analysés en utilisant un « modèle delta » qui combine deux modèles linéaires généralisés (MLG) différents (pour la probabilité de rencontre et les taux de prises positifs) ou, moins souvent, une distribution Poisson-gamma composite (PGC) plus onéreuse sur le plan computationnel. J’aborde trois problèmes théoriques associés au modèle delta classique, soit la difficulté d’interpréter les covariables en ce qui concerne la probabilité de rencontres, l’indépendance présumée des deux MLG et la forme non plausible du point de vue biologique quand les covariables sont éliminées pour l’un ou l’autre des MLG. Je développe ensuite un nouveau « modèle Poisson-lien » qui résout ces problèmes. À des fins d’illustration, j’utilise des échantillons de biomasse pour 113 populations de poissons pour démontrer...","DOI":"10.1139/cjfas-2017-0266","ISSN":"0706-652X","journalAbbreviation":"Can. J. Fish. Aquat. Sci.","author":[{"family":"Thorson","given":"James T."}],"issued":{"date-parts":[["2017",10,13]]}}}],"schema":"https://github.com/citation-style-language/schema/raw/master/csl-citation.json"} </w:instrText>
      </w:r>
      <w:r w:rsidR="005C2011">
        <w:rPr>
          <w:rFonts w:ascii="Times New Roman" w:eastAsiaTheme="minorEastAsia" w:hAnsi="Times New Roman" w:cs="Times New Roman"/>
          <w:iCs/>
          <w:sz w:val="24"/>
          <w:szCs w:val="24"/>
        </w:rPr>
        <w:fldChar w:fldCharType="separate"/>
      </w:r>
      <w:r w:rsidR="005C2011" w:rsidRPr="005C2011">
        <w:rPr>
          <w:rFonts w:ascii="Times New Roman" w:hAnsi="Times New Roman" w:cs="Times New Roman"/>
          <w:sz w:val="24"/>
        </w:rPr>
        <w:t>(Thorson, 2017)</w:t>
      </w:r>
      <w:r w:rsidR="005C2011">
        <w:rPr>
          <w:rFonts w:ascii="Times New Roman" w:eastAsiaTheme="minorEastAsia" w:hAnsi="Times New Roman" w:cs="Times New Roman"/>
          <w:iCs/>
          <w:sz w:val="24"/>
          <w:szCs w:val="24"/>
        </w:rPr>
        <w:fldChar w:fldCharType="end"/>
      </w:r>
      <w:r w:rsidR="005C201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that includes two linear predictors:</w:t>
      </w:r>
    </w:p>
    <w:p w14:paraId="445D895E" w14:textId="62D2079B" w:rsidR="002B27E0" w:rsidRDefault="00984C22" w:rsidP="00B46FB7">
      <w:pPr>
        <w:tabs>
          <w:tab w:val="left" w:pos="360"/>
        </w:tabs>
        <w:spacing w:after="0" w:line="480" w:lineRule="auto"/>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×n(i)</m:t>
              </m:r>
            </m:e>
          </m:d>
        </m:oMath>
      </m:oMathPara>
    </w:p>
    <w:p w14:paraId="2225E0F2" w14:textId="17C0CFCE" w:rsidR="002B27E0" w:rsidRPr="00984C22" w:rsidRDefault="00984C22" w:rsidP="00B46FB7">
      <w:pPr>
        <w:tabs>
          <w:tab w:val="left" w:pos="360"/>
        </w:tabs>
        <w:spacing w:after="0" w:line="480" w:lineRule="auto"/>
        <w:ind w:left="360"/>
        <w:rPr>
          <w:rFonts w:ascii="Times New Roman" w:eastAsiaTheme="minorEastAsia" w:hAnsi="Times New Roman" w:cs="Times New Roman"/>
          <w:i/>
          <w:iCs/>
          <w:sz w:val="24"/>
          <w:szCs w:val="24"/>
        </w:rPr>
      </w:pPr>
      <m:oMathPara>
        <m:oMath>
          <m:r>
            <w:rPr>
              <w:rFonts w:ascii="Cambria Math" w:hAnsi="Cambria Math" w:cs="Times New Roman"/>
              <w:sz w:val="24"/>
              <w:szCs w:val="24"/>
            </w:rPr>
            <m:t>r</m:t>
          </m:r>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×n(i)</m:t>
              </m:r>
            </m:num>
            <m:den>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×w(i)</m:t>
          </m:r>
        </m:oMath>
      </m:oMathPara>
    </w:p>
    <w:p w14:paraId="5AF0E17C" w14:textId="4BF48D6E" w:rsidR="00984C22" w:rsidRDefault="00984C22" w:rsidP="00B46FB7">
      <w:pPr>
        <w:tabs>
          <w:tab w:val="left" w:pos="360"/>
        </w:tabs>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n(i)</m:t>
        </m:r>
      </m:oMath>
      <w:r>
        <w:rPr>
          <w:rFonts w:ascii="Times New Roman" w:eastAsiaTheme="minorEastAsia" w:hAnsi="Times New Roman" w:cs="Times New Roman"/>
          <w:iCs/>
          <w:sz w:val="24"/>
          <w:szCs w:val="24"/>
        </w:rPr>
        <w:t xml:space="preserve"> is predicted numbers-density</w:t>
      </w:r>
      <w:r w:rsidR="005C201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5C2011">
        <w:rPr>
          <w:rFonts w:ascii="Times New Roman" w:eastAsiaTheme="minorEastAsia" w:hAnsi="Times New Roman" w:cs="Times New Roman"/>
          <w:sz w:val="24"/>
          <w:szCs w:val="24"/>
        </w:rPr>
        <w:t xml:space="preserve"> is the area sampled for observation </w:t>
      </w:r>
      <m:oMath>
        <m:r>
          <w:rPr>
            <w:rFonts w:ascii="Cambria Math" w:eastAsiaTheme="minorEastAsia" w:hAnsi="Cambria Math" w:cs="Times New Roman"/>
            <w:sz w:val="24"/>
            <w:szCs w:val="24"/>
          </w:rPr>
          <m:t>i</m:t>
        </m:r>
      </m:oMath>
      <w:r w:rsidR="005C2011">
        <w:rPr>
          <w:rFonts w:ascii="Times New Roman" w:eastAsiaTheme="minorEastAsia" w:hAnsi="Times New Roman" w:cs="Times New Roman"/>
          <w:sz w:val="24"/>
          <w:szCs w:val="24"/>
        </w:rPr>
        <w:t>,</w:t>
      </w:r>
      <w:r>
        <w:rPr>
          <w:rFonts w:ascii="Times New Roman" w:eastAsiaTheme="minorEastAsia" w:hAnsi="Times New Roman" w:cs="Times New Roman"/>
          <w:iCs/>
          <w:sz w:val="24"/>
          <w:szCs w:val="24"/>
        </w:rPr>
        <w:t xml:space="preserve"> and </w:t>
      </w:r>
      <m:oMath>
        <m:r>
          <w:rPr>
            <w:rFonts w:ascii="Cambria Math" w:eastAsiaTheme="minorEastAsia" w:hAnsi="Cambria Math" w:cs="Times New Roman"/>
            <w:sz w:val="24"/>
            <w:szCs w:val="24"/>
          </w:rPr>
          <m:t>w</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predicted biomass-per-individual</w:t>
      </w:r>
      <w:r w:rsidR="005C201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5C2011">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n(i)</m:t>
        </m:r>
      </m:oMath>
      <w:r w:rsidR="005C2011">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w</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sidR="005C2011">
        <w:rPr>
          <w:rFonts w:ascii="Times New Roman" w:eastAsiaTheme="minorEastAsia" w:hAnsi="Times New Roman" w:cs="Times New Roman"/>
          <w:iCs/>
          <w:sz w:val="24"/>
          <w:szCs w:val="24"/>
        </w:rPr>
        <w:t xml:space="preserve"> are </w:t>
      </w:r>
      <w:r>
        <w:rPr>
          <w:rFonts w:ascii="Times New Roman" w:eastAsiaTheme="minorEastAsia" w:hAnsi="Times New Roman" w:cs="Times New Roman"/>
          <w:iCs/>
          <w:sz w:val="24"/>
          <w:szCs w:val="24"/>
        </w:rPr>
        <w:t>each specified as log-linked linear model</w:t>
      </w:r>
      <w:r w:rsidR="005C2011">
        <w:rPr>
          <w:rFonts w:ascii="Times New Roman" w:eastAsiaTheme="minorEastAsia" w:hAnsi="Times New Roman" w:cs="Times New Roman"/>
          <w:iCs/>
          <w:sz w:val="24"/>
          <w:szCs w:val="24"/>
        </w:rPr>
        <w:t>s</w:t>
      </w:r>
      <w:r>
        <w:rPr>
          <w:rFonts w:ascii="Times New Roman" w:eastAsiaTheme="minorEastAsia" w:hAnsi="Times New Roman" w:cs="Times New Roman"/>
          <w:iCs/>
          <w:sz w:val="24"/>
          <w:szCs w:val="24"/>
        </w:rPr>
        <w:t>:</w:t>
      </w:r>
    </w:p>
    <w:p w14:paraId="150CAA23" w14:textId="118A112C" w:rsidR="00984C22" w:rsidRPr="00493EE0" w:rsidRDefault="007F3C05" w:rsidP="00B46FB7">
      <w:pPr>
        <w:tabs>
          <w:tab w:val="left" w:pos="360"/>
        </w:tabs>
        <w:spacing w:after="0" w:line="480" w:lineRule="auto"/>
        <w:rPr>
          <w:rFonts w:ascii="Times New Roman" w:eastAsiaTheme="minorEastAsia" w:hAnsi="Times New Roman" w:cs="Times New Roman"/>
          <w:iCs/>
          <w:sz w:val="24"/>
          <w:szCs w:val="24"/>
        </w:rPr>
      </w:pPr>
      <m:oMathPara>
        <m:oMath>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i</m:t>
                      </m:r>
                    </m:e>
                  </m:d>
                  <m:ctrlPr>
                    <w:rPr>
                      <w:rFonts w:ascii="Cambria Math" w:hAnsi="Cambria Math" w:cs="Times New Roman"/>
                      <w:i/>
                      <w:sz w:val="24"/>
                      <w:szCs w:val="24"/>
                    </w:rPr>
                  </m:ctrlPr>
                </m:e>
              </m:d>
            </m:e>
          </m:func>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groupChr>
            </m:e>
            <m:lim>
              <m:r>
                <w:rPr>
                  <w:rFonts w:ascii="Cambria Math" w:hAnsi="Cambria Math" w:cs="Times New Roman"/>
                  <w:sz w:val="24"/>
                  <w:szCs w:val="24"/>
                </w:rPr>
                <m:t>Intercept</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ωn</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εn</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n</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rPr>
                        <m:t>p=1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n</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,p</m:t>
                              </m:r>
                            </m:e>
                          </m:d>
                          <m:r>
                            <w:rPr>
                              <w:rFonts w:ascii="Cambria Math" w:hAnsi="Cambria Math" w:cs="Times New Roman"/>
                              <w:sz w:val="24"/>
                              <w:szCs w:val="24"/>
                            </w:rPr>
                            <m:t>+σ(c,p)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ctrlPr>
                            <w:rPr>
                              <w:rFonts w:ascii="Cambria Math" w:hAnsi="Cambria Math" w:cs="Times New Roman"/>
                              <w:i/>
                              <w:sz w:val="24"/>
                              <w:szCs w:val="24"/>
                            </w:rPr>
                          </m:ctrlPr>
                        </m:e>
                      </m:d>
                      <m:r>
                        <w:rPr>
                          <w:rFonts w:ascii="Cambria Math" w:hAnsi="Cambria Math" w:cs="Times New Roman"/>
                          <w:sz w:val="24"/>
                          <w:szCs w:val="24"/>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,p</m:t>
                          </m:r>
                        </m:e>
                      </m:d>
                    </m:e>
                  </m:nary>
                </m:e>
              </m:groupChr>
            </m:e>
            <m:lim>
              <m:r>
                <w:rPr>
                  <w:rFonts w:ascii="Cambria Math" w:hAnsi="Cambria Math" w:cs="Times New Roman"/>
                  <w:sz w:val="24"/>
                  <w:szCs w:val="24"/>
                </w:rPr>
                <m:t>Density covariates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r>
                    <w:rPr>
                      <w:rFonts w:ascii="Cambria Math" w:hAnsi="Cambria Math" w:cs="Times New Roman"/>
                      <w:sz w:val="24"/>
                      <w:szCs w:val="24"/>
                    </w:rPr>
                    <m:t>…</m:t>
                  </m:r>
                </m:e>
              </m:groupChr>
            </m:e>
            <m:lim>
              <m:r>
                <w:rPr>
                  <w:rFonts w:ascii="Cambria Math" w:hAnsi="Cambria Math" w:cs="Times New Roman"/>
                  <w:sz w:val="24"/>
                  <w:szCs w:val="24"/>
                </w:rPr>
                <m:t>Other terms</m:t>
              </m:r>
            </m:lim>
          </m:limLow>
        </m:oMath>
      </m:oMathPara>
    </w:p>
    <w:p w14:paraId="5FD84EE9" w14:textId="414BD7E8" w:rsidR="004A7903" w:rsidRDefault="000F7102" w:rsidP="00B46FB7">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where a similar log-linked linear predictor is defined for </w:t>
      </w:r>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w</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d>
          </m:e>
        </m:func>
      </m:oMath>
      <w:r>
        <w:rPr>
          <w:rFonts w:ascii="Times New Roman" w:eastAsiaTheme="minorEastAsia" w:hAnsi="Times New Roman" w:cs="Times New Roman"/>
          <w:iCs/>
          <w:sz w:val="24"/>
          <w:szCs w:val="24"/>
        </w:rPr>
        <w:t xml:space="preserve">.  </w:t>
      </w:r>
      <w:r w:rsidR="00706273">
        <w:rPr>
          <w:rFonts w:ascii="Times New Roman" w:eastAsiaTheme="minorEastAsia" w:hAnsi="Times New Roman" w:cs="Times New Roman"/>
          <w:iCs/>
          <w:sz w:val="24"/>
          <w:szCs w:val="24"/>
        </w:rPr>
        <w:t xml:space="preserve">For completeness </w:t>
      </w:r>
      <w:r>
        <w:rPr>
          <w:rFonts w:ascii="Times New Roman" w:eastAsiaTheme="minorEastAsia" w:hAnsi="Times New Roman" w:cs="Times New Roman"/>
          <w:iCs/>
          <w:sz w:val="24"/>
          <w:szCs w:val="24"/>
        </w:rPr>
        <w:t xml:space="preserve">in </w:t>
      </w:r>
      <w:r w:rsidR="00706273">
        <w:rPr>
          <w:rFonts w:ascii="Times New Roman" w:eastAsiaTheme="minorEastAsia" w:hAnsi="Times New Roman" w:cs="Times New Roman"/>
          <w:iCs/>
          <w:sz w:val="24"/>
          <w:szCs w:val="24"/>
        </w:rPr>
        <w:t xml:space="preserve">describing </w:t>
      </w:r>
      <w:r>
        <w:rPr>
          <w:rFonts w:ascii="Times New Roman" w:eastAsiaTheme="minorEastAsia" w:hAnsi="Times New Roman" w:cs="Times New Roman"/>
          <w:iCs/>
          <w:sz w:val="24"/>
          <w:szCs w:val="24"/>
        </w:rPr>
        <w:t xml:space="preserve">the </w:t>
      </w:r>
      <w:r w:rsidR="00706273">
        <w:rPr>
          <w:rFonts w:ascii="Times New Roman" w:eastAsiaTheme="minorEastAsia" w:hAnsi="Times New Roman" w:cs="Times New Roman"/>
          <w:iCs/>
          <w:sz w:val="24"/>
          <w:szCs w:val="24"/>
        </w:rPr>
        <w:t xml:space="preserve">new </w:t>
      </w:r>
      <w:r w:rsidR="00170513">
        <w:rPr>
          <w:rFonts w:ascii="Times New Roman" w:eastAsiaTheme="minorEastAsia" w:hAnsi="Times New Roman" w:cs="Times New Roman"/>
          <w:iCs/>
          <w:sz w:val="24"/>
          <w:szCs w:val="24"/>
        </w:rPr>
        <w:t>SVC</w:t>
      </w:r>
      <w:r>
        <w:rPr>
          <w:rFonts w:ascii="Times New Roman" w:eastAsiaTheme="minorEastAsia" w:hAnsi="Times New Roman" w:cs="Times New Roman"/>
          <w:iCs/>
          <w:sz w:val="24"/>
          <w:szCs w:val="24"/>
        </w:rPr>
        <w:t xml:space="preserve"> </w:t>
      </w:r>
      <w:r w:rsidR="00706273">
        <w:rPr>
          <w:rFonts w:ascii="Times New Roman" w:eastAsiaTheme="minorEastAsia" w:hAnsi="Times New Roman" w:cs="Times New Roman"/>
          <w:iCs/>
          <w:sz w:val="24"/>
          <w:szCs w:val="24"/>
        </w:rPr>
        <w:t xml:space="preserve">feature, </w:t>
      </w:r>
      <w:r w:rsidR="00212101">
        <w:rPr>
          <w:rFonts w:ascii="Times New Roman" w:eastAsiaTheme="minorEastAsia" w:hAnsi="Times New Roman" w:cs="Times New Roman"/>
          <w:iCs/>
          <w:sz w:val="24"/>
          <w:szCs w:val="24"/>
        </w:rPr>
        <w:t xml:space="preserve">I </w:t>
      </w:r>
      <w:r w:rsidR="00065226">
        <w:rPr>
          <w:rFonts w:ascii="Times New Roman" w:eastAsiaTheme="minorEastAsia" w:hAnsi="Times New Roman" w:cs="Times New Roman"/>
          <w:iCs/>
          <w:sz w:val="24"/>
          <w:szCs w:val="24"/>
        </w:rPr>
        <w:t xml:space="preserve">introduce notation for multivariate spatio-temporal models for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065226">
        <w:rPr>
          <w:rFonts w:ascii="Times New Roman" w:eastAsiaTheme="minorEastAsia" w:hAnsi="Times New Roman" w:cs="Times New Roman"/>
          <w:iCs/>
          <w:sz w:val="24"/>
          <w:szCs w:val="24"/>
        </w:rPr>
        <w:t xml:space="preserve"> categories where </w:t>
      </w:r>
      <w:r w:rsidR="00065226" w:rsidRPr="00007D36">
        <w:rPr>
          <w:rFonts w:ascii="Times New Roman" w:hAnsi="Times New Roman"/>
          <w:sz w:val="24"/>
        </w:rPr>
        <w:t>VAST</w:t>
      </w:r>
      <w:r w:rsidR="00065226">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is capable of estimating a </w:t>
      </w:r>
      <w:r w:rsidR="00065226">
        <w:rPr>
          <w:rFonts w:ascii="Times New Roman" w:eastAsiaTheme="minorEastAsia" w:hAnsi="Times New Roman" w:cs="Times New Roman"/>
          <w:iCs/>
          <w:sz w:val="24"/>
          <w:szCs w:val="24"/>
        </w:rPr>
        <w:t xml:space="preserve">rank-reduced covariance among categories via </w:t>
      </w:r>
      <w:r>
        <w:rPr>
          <w:rFonts w:ascii="Times New Roman" w:eastAsiaTheme="minorEastAsia" w:hAnsi="Times New Roman" w:cs="Times New Roman"/>
          <w:iCs/>
          <w:sz w:val="24"/>
          <w:szCs w:val="24"/>
        </w:rPr>
        <w:t xml:space="preserve">loadings matrices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ωn</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εn</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AD696A">
        <w:rPr>
          <w:rFonts w:ascii="Times New Roman" w:eastAsiaTheme="minorEastAsia" w:hAnsi="Times New Roman" w:cs="Times New Roman"/>
          <w:sz w:val="24"/>
          <w:szCs w:val="24"/>
        </w:rPr>
        <w:t xml:space="preserve"> for multiple “factors” </w:t>
      </w:r>
      <m:oMath>
        <m:r>
          <w:rPr>
            <w:rFonts w:ascii="Cambria Math" w:eastAsiaTheme="minorEastAsia" w:hAnsi="Cambria Math" w:cs="Times New Roman"/>
            <w:sz w:val="24"/>
            <w:szCs w:val="24"/>
          </w:rPr>
          <m:t>f</m:t>
        </m:r>
      </m:oMath>
      <w:r w:rsidR="00AD696A">
        <w:rPr>
          <w:rFonts w:ascii="Times New Roman" w:eastAsiaTheme="minorEastAsia" w:hAnsi="Times New Roman" w:cs="Times New Roman"/>
          <w:sz w:val="24"/>
          <w:szCs w:val="24"/>
        </w:rPr>
        <w:t xml:space="preserve">, and where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d>
          <m:dPr>
            <m:ctrlPr>
              <w:rPr>
                <w:rFonts w:ascii="Cambria Math" w:hAnsi="Cambria Math" w:cs="Times New Roman"/>
                <w:i/>
                <w:iCs/>
                <w:sz w:val="24"/>
                <w:szCs w:val="24"/>
              </w:rPr>
            </m:ctrlPr>
          </m:dPr>
          <m:e>
            <m:r>
              <w:rPr>
                <w:rFonts w:ascii="Cambria Math" w:hAnsi="Cambria Math" w:cs="Times New Roman"/>
                <w:sz w:val="24"/>
                <w:szCs w:val="24"/>
              </w:rPr>
              <m:t>s,f</m:t>
            </m:r>
          </m:e>
        </m:d>
      </m:oMath>
      <w:r w:rsidR="00AD696A">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n</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sidR="00AD696A">
        <w:rPr>
          <w:rFonts w:ascii="Times New Roman" w:eastAsiaTheme="minorEastAsia" w:hAnsi="Times New Roman" w:cs="Times New Roman"/>
          <w:iCs/>
          <w:sz w:val="24"/>
          <w:szCs w:val="24"/>
        </w:rPr>
        <w:t xml:space="preserve"> represent spatial and spatio-temporal variation in </w:t>
      </w:r>
      <m:oMath>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r>
                  <w:rPr>
                    <w:rFonts w:ascii="Cambria Math" w:hAnsi="Cambria Math" w:cs="Times New Roman"/>
                    <w:sz w:val="24"/>
                    <w:szCs w:val="24"/>
                  </w:rPr>
                  <m:t>n</m:t>
                </m:r>
                <m:ctrlPr>
                  <w:rPr>
                    <w:rFonts w:ascii="Cambria Math" w:hAnsi="Cambria Math" w:cs="Times New Roman"/>
                    <w:i/>
                    <w:sz w:val="24"/>
                    <w:szCs w:val="24"/>
                  </w:rPr>
                </m:ctrlPr>
              </m:e>
            </m:d>
          </m:e>
        </m:func>
      </m:oMath>
      <w:r w:rsidR="00AD696A">
        <w:rPr>
          <w:rFonts w:ascii="Times New Roman" w:eastAsiaTheme="minorEastAsia" w:hAnsi="Times New Roman" w:cs="Times New Roman"/>
          <w:iCs/>
          <w:sz w:val="24"/>
          <w:szCs w:val="24"/>
        </w:rPr>
        <w:t xml:space="preserve"> at locations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AD696A">
        <w:rPr>
          <w:rFonts w:ascii="Times New Roman" w:eastAsiaTheme="minorEastAsia" w:hAnsi="Times New Roman" w:cs="Times New Roman"/>
          <w:iCs/>
          <w:sz w:val="24"/>
          <w:szCs w:val="24"/>
        </w:rPr>
        <w:t xml:space="preserve"> and times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FE66B9">
        <w:rPr>
          <w:rFonts w:ascii="Times New Roman" w:eastAsiaTheme="minorEastAsia" w:hAnsi="Times New Roman" w:cs="Times New Roman"/>
          <w:iCs/>
          <w:sz w:val="24"/>
          <w:szCs w:val="24"/>
        </w:rPr>
        <w:t xml:space="preserve">.  In </w:t>
      </w:r>
      <w:r w:rsidR="00AE0AF4">
        <w:rPr>
          <w:rFonts w:ascii="Times New Roman" w:eastAsiaTheme="minorEastAsia" w:hAnsi="Times New Roman" w:cs="Times New Roman"/>
          <w:iCs/>
          <w:sz w:val="24"/>
          <w:szCs w:val="24"/>
        </w:rPr>
        <w:t xml:space="preserve">univariate models,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ωn</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AE0AF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εn</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Pr>
          <w:rFonts w:ascii="Times New Roman" w:eastAsiaTheme="minorEastAsia" w:hAnsi="Times New Roman" w:cs="Times New Roman"/>
          <w:sz w:val="24"/>
          <w:szCs w:val="24"/>
        </w:rPr>
        <w:t xml:space="preserve"> </w:t>
      </w:r>
      <w:r w:rsidR="00AE0AF4">
        <w:rPr>
          <w:rFonts w:ascii="Times New Roman" w:eastAsiaTheme="minorEastAsia" w:hAnsi="Times New Roman" w:cs="Times New Roman"/>
          <w:sz w:val="24"/>
          <w:szCs w:val="24"/>
        </w:rPr>
        <w:t>then become scalar</w:t>
      </w:r>
      <w:r>
        <w:rPr>
          <w:rFonts w:ascii="Times New Roman" w:eastAsiaTheme="minorEastAsia" w:hAnsi="Times New Roman" w:cs="Times New Roman"/>
          <w:sz w:val="24"/>
          <w:szCs w:val="24"/>
        </w:rPr>
        <w:t>s</w:t>
      </w:r>
      <w:r w:rsidR="00AE0AF4">
        <w:rPr>
          <w:rFonts w:ascii="Times New Roman" w:eastAsiaTheme="minorEastAsia" w:hAnsi="Times New Roman" w:cs="Times New Roman"/>
          <w:sz w:val="24"/>
          <w:szCs w:val="24"/>
        </w:rPr>
        <w:t xml:space="preserve"> representing the standard deviation of spatial or spatio-temporal variation.  </w:t>
      </w:r>
    </w:p>
    <w:p w14:paraId="521446FC" w14:textId="36FF731C" w:rsidR="00984C22" w:rsidRPr="00984C22" w:rsidRDefault="004A7903" w:rsidP="00B46FB7">
      <w:pPr>
        <w:tabs>
          <w:tab w:val="left" w:pos="360"/>
        </w:tabs>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lastRenderedPageBreak/>
        <w:tab/>
      </w:r>
      <w:r w:rsidRPr="00007D36">
        <w:rPr>
          <w:rFonts w:ascii="Times New Roman" w:hAnsi="Times New Roman"/>
          <w:sz w:val="24"/>
        </w:rPr>
        <w:t>VAST</w:t>
      </w:r>
      <w:r>
        <w:rPr>
          <w:rFonts w:ascii="Times New Roman" w:eastAsiaTheme="minorEastAsia" w:hAnsi="Times New Roman" w:cs="Times New Roman"/>
          <w:sz w:val="24"/>
          <w:szCs w:val="24"/>
        </w:rPr>
        <w:t xml:space="preserve"> now includes term </w:t>
      </w:r>
      <m:oMath>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n</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,p</m:t>
                </m:r>
              </m:e>
            </m:d>
            <m:r>
              <w:rPr>
                <w:rFonts w:ascii="Cambria Math" w:hAnsi="Cambria Math" w:cs="Times New Roman"/>
                <w:sz w:val="24"/>
                <w:szCs w:val="24"/>
              </w:rPr>
              <m:t>+σ(c,p)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ctrlPr>
              <w:rPr>
                <w:rFonts w:ascii="Cambria Math" w:hAnsi="Cambria Math" w:cs="Times New Roman"/>
                <w:i/>
                <w:sz w:val="24"/>
                <w:szCs w:val="24"/>
              </w:rPr>
            </m:ctrlPr>
          </m:e>
        </m:d>
        <m:r>
          <w:rPr>
            <w:rFonts w:ascii="Cambria Math" w:hAnsi="Cambria Math" w:cs="Times New Roman"/>
            <w:sz w:val="24"/>
            <w:szCs w:val="24"/>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for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Pr>
          <w:rFonts w:ascii="Times New Roman" w:eastAsiaTheme="minorEastAsia" w:hAnsi="Times New Roman" w:cs="Times New Roman"/>
          <w:iCs/>
          <w:sz w:val="24"/>
          <w:szCs w:val="24"/>
        </w:rPr>
        <w:t xml:space="preserve"> covariates, while previous versions of </w:t>
      </w:r>
      <w:r w:rsidRPr="00007D36">
        <w:rPr>
          <w:rFonts w:ascii="Times New Roman" w:hAnsi="Times New Roman"/>
          <w:sz w:val="24"/>
        </w:rPr>
        <w:t>VAST</w:t>
      </w:r>
      <w:r>
        <w:rPr>
          <w:rFonts w:ascii="Times New Roman" w:eastAsiaTheme="minorEastAsia" w:hAnsi="Times New Roman" w:cs="Times New Roman"/>
          <w:iCs/>
          <w:sz w:val="24"/>
          <w:szCs w:val="24"/>
        </w:rPr>
        <w:t xml:space="preserve"> had instead </w:t>
      </w:r>
      <w:r w:rsidR="009B6946">
        <w:rPr>
          <w:rFonts w:ascii="Times New Roman" w:eastAsiaTheme="minorEastAsia" w:hAnsi="Times New Roman" w:cs="Times New Roman"/>
          <w:iCs/>
          <w:sz w:val="24"/>
          <w:szCs w:val="24"/>
        </w:rPr>
        <w:t>specified the reduced term</w:t>
      </w:r>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n</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,p</m:t>
            </m:r>
          </m:e>
        </m:d>
        <m:r>
          <w:rPr>
            <w:rFonts w:ascii="Cambria Math" w:hAnsi="Cambria Math" w:cs="Times New Roman"/>
            <w:sz w:val="24"/>
            <w:szCs w:val="24"/>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This extended capability for density covariates includes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Pr>
          <w:rFonts w:ascii="Times New Roman" w:eastAsiaTheme="minorEastAsia" w:hAnsi="Times New Roman" w:cs="Times New Roman"/>
          <w:sz w:val="24"/>
          <w:szCs w:val="24"/>
        </w:rPr>
        <w:t xml:space="preserve">, which is specified as a zero-mean Gaussian Markov random field with unit variance for each category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and covariate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When estimating a </w:t>
      </w:r>
      <w:r w:rsidR="00D509D9">
        <w:rPr>
          <w:rFonts w:ascii="Times New Roman" w:eastAsiaTheme="minorEastAsia" w:hAnsi="Times New Roman" w:cs="Times New Roman"/>
          <w:sz w:val="24"/>
          <w:szCs w:val="24"/>
        </w:rPr>
        <w:t>spatially vary</w:t>
      </w:r>
      <w:r>
        <w:rPr>
          <w:rFonts w:ascii="Times New Roman" w:eastAsiaTheme="minorEastAsia" w:hAnsi="Times New Roman" w:cs="Times New Roman"/>
          <w:sz w:val="24"/>
          <w:szCs w:val="24"/>
        </w:rPr>
        <w:t xml:space="preserve">ing coefficient, </w:t>
      </w:r>
      <w:r w:rsidRPr="00007D36">
        <w:rPr>
          <w:rFonts w:ascii="Times New Roman" w:hAnsi="Times New Roman"/>
          <w:sz w:val="24"/>
        </w:rPr>
        <w:t>VAST</w:t>
      </w:r>
      <w:r>
        <w:rPr>
          <w:rFonts w:ascii="Times New Roman" w:eastAsiaTheme="minorEastAsia" w:hAnsi="Times New Roman" w:cs="Times New Roman"/>
          <w:sz w:val="24"/>
          <w:szCs w:val="24"/>
        </w:rPr>
        <w:t xml:space="preserve"> estimates its variance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(c,p)</m:t>
        </m:r>
      </m:oMath>
      <w:r>
        <w:rPr>
          <w:rFonts w:ascii="Times New Roman" w:eastAsiaTheme="minorEastAsia" w:hAnsi="Times New Roman" w:cs="Times New Roman"/>
          <w:sz w:val="24"/>
          <w:szCs w:val="24"/>
        </w:rPr>
        <w:t xml:space="preserve"> as a fixed effect</w:t>
      </w:r>
      <w:r w:rsidR="009B6946">
        <w:rPr>
          <w:rFonts w:ascii="Times New Roman" w:eastAsiaTheme="minorEastAsia" w:hAnsi="Times New Roman" w:cs="Times New Roman"/>
          <w:sz w:val="24"/>
          <w:szCs w:val="24"/>
        </w:rPr>
        <w:t xml:space="preserve"> and estimating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hAnsi="Cambria Math" w:cs="Times New Roman"/>
            <w:sz w:val="24"/>
            <w:szCs w:val="24"/>
          </w:rPr>
          <m:t>=0</m:t>
        </m:r>
      </m:oMath>
      <w:r w:rsidR="009B6946">
        <w:rPr>
          <w:rFonts w:ascii="Times New Roman" w:eastAsiaTheme="minorEastAsia" w:hAnsi="Times New Roman" w:cs="Times New Roman"/>
          <w:sz w:val="24"/>
          <w:szCs w:val="24"/>
        </w:rPr>
        <w:t xml:space="preserve"> results in the reduced, linear effect of that covariate</w:t>
      </w:r>
      <w:r>
        <w:rPr>
          <w:rFonts w:ascii="Times New Roman" w:eastAsiaTheme="minorEastAsia" w:hAnsi="Times New Roman" w:cs="Times New Roman"/>
          <w:sz w:val="24"/>
          <w:szCs w:val="24"/>
        </w:rPr>
        <w:t xml:space="preserve">.  Users must specify that </w:t>
      </w:r>
      <m:oMath>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n</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,p</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for any covariate </w:t>
      </w:r>
      <m:oMath>
        <m:r>
          <w:rPr>
            <w:rFonts w:ascii="Cambria Math" w:eastAsiaTheme="minorEastAsia" w:hAnsi="Cambria Math" w:cs="Times New Roman"/>
            <w:sz w:val="24"/>
            <w:szCs w:val="24"/>
          </w:rPr>
          <m:t>p</m:t>
        </m:r>
      </m:oMath>
      <w:r>
        <w:rPr>
          <w:rFonts w:ascii="Times New Roman" w:eastAsiaTheme="minorEastAsia" w:hAnsi="Times New Roman" w:cs="Times New Roman"/>
          <w:iCs/>
          <w:sz w:val="24"/>
          <w:szCs w:val="24"/>
        </w:rPr>
        <w:t xml:space="preserve"> that is identical across space whenever intercepts are estimated as fixed effects</w:t>
      </w:r>
      <w:r w:rsidR="00961010">
        <w:rPr>
          <w:rFonts w:ascii="Times New Roman" w:eastAsiaTheme="minorEastAsia" w:hAnsi="Times New Roman" w:cs="Times New Roman"/>
          <w:iCs/>
          <w:sz w:val="24"/>
          <w:szCs w:val="24"/>
        </w:rPr>
        <w:t xml:space="preserve">, and we do this when fitting to cold-pool extent; </w:t>
      </w:r>
      <w:r w:rsidRPr="00007D36">
        <w:rPr>
          <w:rFonts w:ascii="Times New Roman" w:hAnsi="Times New Roman"/>
          <w:sz w:val="24"/>
        </w:rPr>
        <w:t xml:space="preserve">VAST </w:t>
      </w:r>
      <w:r>
        <w:rPr>
          <w:rFonts w:ascii="Times New Roman" w:eastAsiaTheme="minorEastAsia" w:hAnsi="Times New Roman" w:cs="Times New Roman"/>
          <w:iCs/>
          <w:sz w:val="24"/>
          <w:szCs w:val="24"/>
        </w:rPr>
        <w:t>includes</w:t>
      </w:r>
      <w:r w:rsidR="00961010">
        <w:rPr>
          <w:rFonts w:ascii="Times New Roman" w:eastAsiaTheme="minorEastAsia" w:hAnsi="Times New Roman" w:cs="Times New Roman"/>
          <w:iCs/>
          <w:sz w:val="24"/>
          <w:szCs w:val="24"/>
        </w:rPr>
        <w:t xml:space="preserve"> user settings</w:t>
      </w:r>
      <w:r>
        <w:rPr>
          <w:rFonts w:ascii="Times New Roman" w:eastAsiaTheme="minorEastAsia" w:hAnsi="Times New Roman" w:cs="Times New Roman"/>
          <w:iCs/>
          <w:sz w:val="24"/>
          <w:szCs w:val="24"/>
        </w:rPr>
        <w:t xml:space="preserve"> to </w:t>
      </w:r>
      <w:r w:rsidR="00961010">
        <w:rPr>
          <w:rFonts w:ascii="Times New Roman" w:eastAsiaTheme="minorEastAsia" w:hAnsi="Times New Roman" w:cs="Times New Roman"/>
          <w:iCs/>
          <w:sz w:val="24"/>
          <w:szCs w:val="24"/>
        </w:rPr>
        <w:t xml:space="preserve">specify a model where </w:t>
      </w:r>
      <m:oMath>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n</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,p</m:t>
            </m:r>
          </m:e>
        </m:d>
        <m:r>
          <w:rPr>
            <w:rFonts w:ascii="Cambria Math" w:hAnsi="Cambria Math" w:cs="Times New Roman"/>
            <w:sz w:val="24"/>
            <w:szCs w:val="24"/>
          </w:rPr>
          <m:t>=0</m:t>
        </m:r>
      </m:oMath>
      <w:r>
        <w:rPr>
          <w:rFonts w:ascii="Times New Roman" w:eastAsiaTheme="minorEastAsia" w:hAnsi="Times New Roman" w:cs="Times New Roman"/>
          <w:sz w:val="24"/>
          <w:szCs w:val="24"/>
        </w:rPr>
        <w:t xml:space="preserve">.  </w:t>
      </w:r>
    </w:p>
    <w:p w14:paraId="6A37F037" w14:textId="58E326E4" w:rsidR="007E5158" w:rsidRPr="007E5158" w:rsidRDefault="007E5158" w:rsidP="00B46FB7">
      <w:pPr>
        <w:tabs>
          <w:tab w:val="left" w:pos="360"/>
        </w:tabs>
        <w:spacing w:after="0" w:line="480" w:lineRule="auto"/>
        <w:rPr>
          <w:rFonts w:ascii="Times New Roman" w:hAnsi="Times New Roman" w:cs="Times New Roman"/>
          <w:b/>
          <w:sz w:val="24"/>
          <w:szCs w:val="24"/>
        </w:rPr>
      </w:pPr>
      <w:r>
        <w:rPr>
          <w:rFonts w:ascii="Times New Roman" w:hAnsi="Times New Roman" w:cs="Times New Roman"/>
          <w:b/>
          <w:sz w:val="24"/>
          <w:szCs w:val="24"/>
        </w:rPr>
        <w:t>Case-study application</w:t>
      </w:r>
    </w:p>
    <w:p w14:paraId="4282A817" w14:textId="04F8562D" w:rsidR="007E5158" w:rsidRDefault="00170513" w:rsidP="00B46FB7">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We explore the utility of this new </w:t>
      </w:r>
      <w:r w:rsidR="00D509D9">
        <w:rPr>
          <w:rFonts w:ascii="Times New Roman" w:hAnsi="Times New Roman" w:cs="Times New Roman"/>
          <w:sz w:val="24"/>
          <w:szCs w:val="24"/>
        </w:rPr>
        <w:t>spatially vary</w:t>
      </w:r>
      <w:r>
        <w:rPr>
          <w:rFonts w:ascii="Times New Roman" w:hAnsi="Times New Roman" w:cs="Times New Roman"/>
          <w:sz w:val="24"/>
          <w:szCs w:val="24"/>
        </w:rPr>
        <w:t xml:space="preserve">ing coefficient model using </w:t>
      </w:r>
      <w:r w:rsidR="002516E8">
        <w:rPr>
          <w:rFonts w:ascii="Times New Roman" w:hAnsi="Times New Roman" w:cs="Times New Roman"/>
          <w:sz w:val="24"/>
          <w:szCs w:val="24"/>
        </w:rPr>
        <w:t xml:space="preserve">bottom-trawl survey </w:t>
      </w:r>
      <w:r>
        <w:rPr>
          <w:rFonts w:ascii="Times New Roman" w:hAnsi="Times New Roman" w:cs="Times New Roman"/>
          <w:sz w:val="24"/>
          <w:szCs w:val="24"/>
        </w:rPr>
        <w:t xml:space="preserve">data for fish and decapod species in the Eastern Bering Sea.  Previous oceanographic research has shown that the productivity and spatial structure of this marine ecosystem is strongly tied to both the spatial extent of sea ice and the seasonal timing of ice melt.  Specifically, sea ice provides a spatial structure for the growth of highly productive phytoplankton, </w:t>
      </w:r>
      <w:r w:rsidR="00E81D8E">
        <w:rPr>
          <w:rFonts w:ascii="Times New Roman" w:hAnsi="Times New Roman" w:cs="Times New Roman"/>
          <w:sz w:val="24"/>
          <w:szCs w:val="24"/>
        </w:rPr>
        <w:t xml:space="preserve">affects the timing of vertical mixing and resulting plankton community structure </w:t>
      </w:r>
      <w:r w:rsidR="00285A77">
        <w:rPr>
          <w:rFonts w:ascii="Times New Roman" w:hAnsi="Times New Roman" w:cs="Times New Roman"/>
          <w:sz w:val="24"/>
          <w:szCs w:val="24"/>
        </w:rPr>
        <w:fldChar w:fldCharType="begin"/>
      </w:r>
      <w:r w:rsidR="00E81D8E">
        <w:rPr>
          <w:rFonts w:ascii="Times New Roman" w:hAnsi="Times New Roman" w:cs="Times New Roman"/>
          <w:sz w:val="24"/>
          <w:szCs w:val="24"/>
        </w:rPr>
        <w:instrText xml:space="preserve"> ADDIN ZOTERO_ITEM CSL_CITATION {"citationID":"RhcTi4IS","properties":{"formattedCitation":"(Stabeno et al., 2012)","plainCitation":"(Stabeno et al., 2012)","noteIndex":0},"citationItems":[{"id":1847,"uris":["http://zotero.org/users/251206/items/HCJFRCIC"],"uri":["http://zotero.org/users/251206/items/HCJFRCIC"],"itemData":{"id":1847,"type":"article-journal","title":"Comparison of warm and cold years on the southeastern Bering Sea shelf and some implications for the ecosystem","container-title":"Deep Sea Research Part II: Topical Studies in Oceanography","collection-title":"Understanding Ecosystem Processes in the Eastern Bering Sea","page":"31-45","volume":"65–70","source":"ScienceDirect","abstract":"The southeastern, middle shelf of the Bering Sea has exhibited extreme variability in sea ice extent, temperature, and the distribution and abundance of species at multiple trophic levels over the past four decades. From 1972–2000, there was high interannual variability of areal extent of sea ice during spring (March–April). In 2000, this shifted to a 5-year (2001–2005) period of low ice extent during spring, which transitioned to a 4-year (2007–2010) period of extensive sea ice. High (low) areal extent of sea ice in spring was associated with cold (warm) water column temperatures for the following 6–7 months. The ocean currents also differed between warm and cold years. During cold years, the monthly-mean currents over the shelf were largely westward, while in warm years the direction of currents was more variable, with northward flow during December–February and relatively weak flow during the remainder of the year. The types and abundance of zooplankton differed sharply between warm and cold years. This was especially true during the prolonged warm period (2001–2005) and cold period (2007–2010), and was less evident during the years of high interannual variability. During the warm period, there was a lack of large copepods and euphausiids over the shelf; however, their populations rebounded during cold period. Small crustacean zooplankton taxa did not appear to vary between and warm and cold years. For both walleye pollock and Pacific cod, year-class strength (recruitment) was low during the prolonged warm period, but improved during the following cold period. Year-class strength did not appear to vary as a function of warm and cold years during the period of high year-to-year variability. Also, recruitment of arrowtooth flounder (a predator of pollock and cod) did not appear influenced by the warm or cold years. Finally, the distribution and relative abundance of fin whales appeared to differ in warm and cold years, with fewer whales on the southeastern, middle shelf during warm years.","DOI":"10.1016/j.dsr2.2012.02.020","ISSN":"0967-0645","journalAbbreviation":"Deep Sea Research Part II: Topical Studies in Oceanography","author":[{"family":"Stabeno","given":"Phyllis J."},{"family":"Kachel","given":"Nancy B."},{"family":"Moore","given":"Sue E."},{"family":"Napp","given":"Jeffrey M."},{"family":"Sigler","given":"Michael"},{"family":"Yamaguchi","given":"Atsushi"},{"family":"Zerbini","given":"Alexandre N."}],"issued":{"date-parts":[["2012",6,15]]}}}],"schema":"https://github.com/citation-style-language/schema/raw/master/csl-citation.json"} </w:instrText>
      </w:r>
      <w:r w:rsidR="00285A77">
        <w:rPr>
          <w:rFonts w:ascii="Times New Roman" w:hAnsi="Times New Roman" w:cs="Times New Roman"/>
          <w:sz w:val="24"/>
          <w:szCs w:val="24"/>
        </w:rPr>
        <w:fldChar w:fldCharType="separate"/>
      </w:r>
      <w:r w:rsidR="00E81D8E" w:rsidRPr="00E81D8E">
        <w:rPr>
          <w:rFonts w:ascii="Times New Roman" w:hAnsi="Times New Roman" w:cs="Times New Roman"/>
          <w:sz w:val="24"/>
        </w:rPr>
        <w:t>(Stabeno et al., 2012)</w:t>
      </w:r>
      <w:r w:rsidR="00285A77">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516E8">
        <w:rPr>
          <w:rFonts w:ascii="Times New Roman" w:hAnsi="Times New Roman" w:cs="Times New Roman"/>
          <w:sz w:val="24"/>
          <w:szCs w:val="24"/>
        </w:rPr>
        <w:t xml:space="preserve">Areas with sea ice are also associated with colder bottom temperatures, affecting distribution for marine species that either prefer or avoid near-zero water temperatures </w:t>
      </w:r>
      <w:r w:rsidR="002516E8">
        <w:rPr>
          <w:rFonts w:ascii="Times New Roman" w:hAnsi="Times New Roman" w:cs="Times New Roman"/>
          <w:sz w:val="24"/>
          <w:szCs w:val="24"/>
        </w:rPr>
        <w:fldChar w:fldCharType="begin"/>
      </w:r>
      <w:r w:rsidR="002516E8">
        <w:rPr>
          <w:rFonts w:ascii="Times New Roman" w:hAnsi="Times New Roman" w:cs="Times New Roman"/>
          <w:sz w:val="24"/>
          <w:szCs w:val="24"/>
        </w:rPr>
        <w:instrText xml:space="preserve"> ADDIN ZOTERO_ITEM CSL_CITATION {"citationID":"arxYC0rC","properties":{"formattedCitation":"(Hunt et al., 2011)","plainCitation":"(Hunt et al., 2011)","noteIndex":0},"citationItems":[{"id":4853,"uris":["http://zotero.org/users/251206/items/QQIX3WVA"],"uri":["http://zotero.org/users/251206/items/QQIX3WVA"],"itemData":{"id":4853,"type":"article-journal","title":"Climate impacts on eastern Bering Sea foodwebs: a synthesis of new data and an assessment of the Oscillating Control Hypothesis","container-title":"ICES Journal of Marine Science","page":"1230-1243","volume":"68","issue":"6","source":"academic.oup.com","abstract":"Abstract.  Hunt, G. L., Coyle, K. O., Eisner, L. B., Farley, E. V., Heintz, R. A., Mueter, F., Napp, J. M., Overland, J. E., Ressler, P. H., Salo, S., and Stabe","DOI":"10.1093/icesjms/fsr036","ISSN":"1054-3139","shortTitle":"Climate impacts on eastern Bering Sea foodwebs","journalAbbreviation":"ICES J Mar Sci","language":"en","author":[{"family":"Hunt","given":"George L."},{"family":"Coyle","given":"Kenneth O."},{"family":"Eisner","given":"Lisa B."},{"family":"Farley","given":"Edward V."},{"family":"Heintz","given":"Ron A."},{"family":"Mueter","given":"Franz"},{"family":"Napp","given":"Jeffrey M."},{"family":"Overland","given":"James E."},{"family":"Ressler","given":"Patrick H."},{"family":"Salo","given":"Sigrid"},{"family":"Stabeno","given":"Phyllis J."}],"issued":{"date-parts":[["2011",7,1]]}}}],"schema":"https://github.com/citation-style-language/schema/raw/master/csl-citation.json"} </w:instrText>
      </w:r>
      <w:r w:rsidR="002516E8">
        <w:rPr>
          <w:rFonts w:ascii="Times New Roman" w:hAnsi="Times New Roman" w:cs="Times New Roman"/>
          <w:sz w:val="24"/>
          <w:szCs w:val="24"/>
        </w:rPr>
        <w:fldChar w:fldCharType="separate"/>
      </w:r>
      <w:r w:rsidR="002516E8" w:rsidRPr="002516E8">
        <w:rPr>
          <w:rFonts w:ascii="Times New Roman" w:hAnsi="Times New Roman" w:cs="Times New Roman"/>
          <w:sz w:val="24"/>
        </w:rPr>
        <w:t>(Hunt et al., 2011)</w:t>
      </w:r>
      <w:r w:rsidR="002516E8">
        <w:rPr>
          <w:rFonts w:ascii="Times New Roman" w:hAnsi="Times New Roman" w:cs="Times New Roman"/>
          <w:sz w:val="24"/>
          <w:szCs w:val="24"/>
        </w:rPr>
        <w:fldChar w:fldCharType="end"/>
      </w:r>
      <w:r w:rsidR="002516E8">
        <w:rPr>
          <w:rFonts w:ascii="Times New Roman" w:hAnsi="Times New Roman" w:cs="Times New Roman"/>
          <w:sz w:val="24"/>
          <w:szCs w:val="24"/>
        </w:rPr>
        <w:t xml:space="preserve">.  We follow past studies in measuring the cold-pool as the area with bottom temperatures at or below </w:t>
      </w:r>
      <m:oMath>
        <m:r>
          <w:rPr>
            <w:rFonts w:ascii="Cambria Math" w:hAnsi="Cambria Math" w:cs="Times New Roman"/>
            <w:sz w:val="24"/>
            <w:szCs w:val="24"/>
          </w:rPr>
          <m:t>2°</m:t>
        </m:r>
      </m:oMath>
      <w:r w:rsidR="002516E8">
        <w:rPr>
          <w:rFonts w:ascii="Times New Roman" w:eastAsiaTheme="minorEastAsia" w:hAnsi="Times New Roman" w:cs="Times New Roman"/>
          <w:sz w:val="24"/>
          <w:szCs w:val="24"/>
        </w:rPr>
        <w:t xml:space="preserve"> C, and explore using this cold-pool area as an annual oceanographic index to describe spatio-temporal variation in distribution.  </w:t>
      </w:r>
    </w:p>
    <w:p w14:paraId="30AE3A2D" w14:textId="4C628E2A" w:rsidR="002516E8" w:rsidRDefault="002516E8"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Specifically, </w:t>
      </w:r>
      <w:r w:rsidR="00212101">
        <w:rPr>
          <w:rFonts w:ascii="Times New Roman" w:hAnsi="Times New Roman" w:cs="Times New Roman"/>
          <w:sz w:val="24"/>
          <w:szCs w:val="24"/>
        </w:rPr>
        <w:t xml:space="preserve">I </w:t>
      </w:r>
      <w:r>
        <w:rPr>
          <w:rFonts w:ascii="Times New Roman" w:hAnsi="Times New Roman" w:cs="Times New Roman"/>
          <w:sz w:val="24"/>
          <w:szCs w:val="24"/>
        </w:rPr>
        <w:t xml:space="preserve">seek to answer: (1) does a </w:t>
      </w:r>
      <w:r w:rsidR="00D509D9">
        <w:rPr>
          <w:rFonts w:ascii="Times New Roman" w:hAnsi="Times New Roman" w:cs="Times New Roman"/>
          <w:sz w:val="24"/>
          <w:szCs w:val="24"/>
        </w:rPr>
        <w:t>spatially vary</w:t>
      </w:r>
      <w:r>
        <w:rPr>
          <w:rFonts w:ascii="Times New Roman" w:hAnsi="Times New Roman" w:cs="Times New Roman"/>
          <w:sz w:val="24"/>
          <w:szCs w:val="24"/>
        </w:rPr>
        <w:t xml:space="preserve">ing coefficient model for cold-pool area explain a substantial portion of variation in spatial distribution for species in this region? and (2) does a </w:t>
      </w:r>
      <w:r w:rsidR="00D509D9">
        <w:rPr>
          <w:rFonts w:ascii="Times New Roman" w:hAnsi="Times New Roman" w:cs="Times New Roman"/>
          <w:sz w:val="24"/>
          <w:szCs w:val="24"/>
        </w:rPr>
        <w:t>spatially vary</w:t>
      </w:r>
      <w:r>
        <w:rPr>
          <w:rFonts w:ascii="Times New Roman" w:hAnsi="Times New Roman" w:cs="Times New Roman"/>
          <w:sz w:val="24"/>
          <w:szCs w:val="24"/>
        </w:rPr>
        <w:t xml:space="preserve">ing impact of the cold-pool remain useful and significant even when also including local temperature as a covariate?  To answer these questions, </w:t>
      </w:r>
      <w:r w:rsidR="00212101">
        <w:rPr>
          <w:rFonts w:ascii="Times New Roman" w:hAnsi="Times New Roman" w:cs="Times New Roman"/>
          <w:sz w:val="24"/>
          <w:szCs w:val="24"/>
        </w:rPr>
        <w:t xml:space="preserve">I </w:t>
      </w:r>
      <w:r>
        <w:rPr>
          <w:rFonts w:ascii="Times New Roman" w:hAnsi="Times New Roman" w:cs="Times New Roman"/>
          <w:sz w:val="24"/>
          <w:szCs w:val="24"/>
        </w:rPr>
        <w:t xml:space="preserve">use data for the </w:t>
      </w:r>
      <w:r w:rsidR="00212101">
        <w:rPr>
          <w:rFonts w:ascii="Times New Roman" w:hAnsi="Times New Roman" w:cs="Times New Roman"/>
          <w:sz w:val="24"/>
          <w:szCs w:val="24"/>
        </w:rPr>
        <w:t>seventeen</w:t>
      </w:r>
      <w:r>
        <w:rPr>
          <w:rFonts w:ascii="Times New Roman" w:hAnsi="Times New Roman" w:cs="Times New Roman"/>
          <w:sz w:val="24"/>
          <w:szCs w:val="24"/>
        </w:rPr>
        <w:t xml:space="preserve"> numerically dominant</w:t>
      </w:r>
      <w:r w:rsidR="00212101">
        <w:rPr>
          <w:rFonts w:ascii="Times New Roman" w:hAnsi="Times New Roman" w:cs="Times New Roman"/>
          <w:sz w:val="24"/>
          <w:szCs w:val="24"/>
        </w:rPr>
        <w:t>, bottom-associated</w:t>
      </w:r>
      <w:r>
        <w:rPr>
          <w:rFonts w:ascii="Times New Roman" w:hAnsi="Times New Roman" w:cs="Times New Roman"/>
          <w:sz w:val="24"/>
          <w:szCs w:val="24"/>
        </w:rPr>
        <w:t xml:space="preserve"> fish and decapod species in the Eastern Bering Sea slope bottom trawl survey conducted annually from 1982 onward using 83-112 bottom trawl gear by the Alaska Fisheries Science Center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{"citationID":"RCGzRu0V","properties":{"formattedCitation":"(Lauth and Conner, 2016)","plainCitation":"(Lauth and Conner, 2016)","noteIndex":0},"citationItems":[{"id":1927,"uris":["http://zotero.org/users/251206/items/DQQCJRHJ"],"uri":["http://zotero.org/users/251206/items/DQQCJRHJ"],"itemData":{"id":1927,"type":"report","title":"Results of the 2013 eastern Bering Sea continental shelf bottom trawl survey of groundfish and invertebrate resources","publisher-place":"Seattle, WA","genre":"NOAA Technical Memorandum","source":"Google Scholar","event-place":"Seattle, WA","number":"NMFS-AFSC-331","author":[{"family":"Lauth","given":"Robert Russell"},{"family":"Conner","given":"J."}],"issued":{"date-parts":[["2016"]]}}}],"schema":"https://github.com/citation-style-language/schema/raw/master/csl-citation.json"} </w:instrText>
      </w:r>
      <w:r>
        <w:rPr>
          <w:rFonts w:ascii="Times New Roman" w:hAnsi="Times New Roman" w:cs="Times New Roman"/>
          <w:sz w:val="24"/>
          <w:szCs w:val="24"/>
        </w:rPr>
        <w:fldChar w:fldCharType="separate"/>
      </w:r>
      <w:r w:rsidRPr="002516E8">
        <w:rPr>
          <w:rFonts w:ascii="Times New Roman" w:hAnsi="Times New Roman" w:cs="Times New Roman"/>
          <w:sz w:val="24"/>
        </w:rPr>
        <w:t>(Lauth and Conner, 2016)</w:t>
      </w:r>
      <w:r>
        <w:rPr>
          <w:rFonts w:ascii="Times New Roman" w:hAnsi="Times New Roman" w:cs="Times New Roman"/>
          <w:sz w:val="24"/>
          <w:szCs w:val="24"/>
        </w:rPr>
        <w:fldChar w:fldCharType="end"/>
      </w:r>
      <w:r>
        <w:rPr>
          <w:rFonts w:ascii="Times New Roman" w:hAnsi="Times New Roman" w:cs="Times New Roman"/>
          <w:sz w:val="24"/>
          <w:szCs w:val="24"/>
        </w:rPr>
        <w:t>.  This survey uses a fixed station design involving nearly 370 stations on a 20 km by 20 km grid (including some areas with more dense sampling near significant islands), and data are publicly available online (</w:t>
      </w:r>
      <w:hyperlink r:id="rId8" w:history="1">
        <w:r w:rsidRPr="00B07B21">
          <w:rPr>
            <w:rStyle w:val="Hyperlink"/>
            <w:rFonts w:ascii="Times New Roman" w:hAnsi="Times New Roman" w:cs="Times New Roman"/>
            <w:sz w:val="24"/>
            <w:szCs w:val="24"/>
          </w:rPr>
          <w:t>http://www.afsc.noaa.gov/RACE/groundfish/survey_data/data.htm</w:t>
        </w:r>
      </w:hyperlink>
      <w:r>
        <w:rPr>
          <w:rFonts w:ascii="Times New Roman" w:hAnsi="Times New Roman" w:cs="Times New Roman"/>
          <w:sz w:val="24"/>
          <w:szCs w:val="24"/>
        </w:rPr>
        <w:t xml:space="preserve">).  For each species, </w:t>
      </w:r>
      <w:r w:rsidR="00212101">
        <w:rPr>
          <w:rFonts w:ascii="Times New Roman" w:hAnsi="Times New Roman" w:cs="Times New Roman"/>
          <w:sz w:val="24"/>
          <w:szCs w:val="24"/>
        </w:rPr>
        <w:t xml:space="preserve">I </w:t>
      </w:r>
      <w:r>
        <w:rPr>
          <w:rFonts w:ascii="Times New Roman" w:hAnsi="Times New Roman" w:cs="Times New Roman"/>
          <w:sz w:val="24"/>
          <w:szCs w:val="24"/>
        </w:rPr>
        <w:t>fit eight models, formed as a 4 by 2 factorial cross of four model structures and two data sets.  The four model structures include:</w:t>
      </w:r>
    </w:p>
    <w:p w14:paraId="09F739E4" w14:textId="7333EA23" w:rsidR="002516E8" w:rsidRPr="002516E8" w:rsidRDefault="002516E8" w:rsidP="00B46FB7">
      <w:pPr>
        <w:pStyle w:val="ListParagraph"/>
        <w:numPr>
          <w:ilvl w:val="0"/>
          <w:numId w:val="1"/>
        </w:num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No covariates</w:t>
      </w:r>
      <w:r>
        <w:rPr>
          <w:rFonts w:ascii="Times New Roman" w:hAnsi="Times New Roman" w:cs="Times New Roman"/>
          <w:sz w:val="24"/>
          <w:szCs w:val="24"/>
        </w:rPr>
        <w:t xml:space="preserve">:  A model with spatial and spatio-temporal variation for both numbers density </w:t>
      </w:r>
      <m:oMath>
        <m:r>
          <w:rPr>
            <w:rFonts w:ascii="Cambria Math" w:hAnsi="Cambria Math" w:cs="Times New Roman"/>
            <w:sz w:val="24"/>
            <w:szCs w:val="24"/>
          </w:rPr>
          <m:t>n(s,t)</m:t>
        </m:r>
      </m:oMath>
      <w:r>
        <w:rPr>
          <w:rFonts w:ascii="Times New Roman" w:eastAsiaTheme="minorEastAsia" w:hAnsi="Times New Roman" w:cs="Times New Roman"/>
          <w:sz w:val="24"/>
          <w:szCs w:val="24"/>
        </w:rPr>
        <w:t xml:space="preserve"> and average weight </w:t>
      </w:r>
      <m:oMath>
        <m:r>
          <w:rPr>
            <w:rFonts w:ascii="Cambria Math" w:eastAsiaTheme="minorEastAsia" w:hAnsi="Cambria Math" w:cs="Times New Roman"/>
            <w:sz w:val="24"/>
            <w:szCs w:val="24"/>
          </w:rPr>
          <m:t>w(s,t)</m:t>
        </m:r>
      </m:oMath>
      <w:r>
        <w:rPr>
          <w:rFonts w:ascii="Times New Roman" w:eastAsiaTheme="minorEastAsia" w:hAnsi="Times New Roman" w:cs="Times New Roman"/>
          <w:sz w:val="24"/>
          <w:szCs w:val="24"/>
        </w:rPr>
        <w:t xml:space="preserve"> but no habitat covariates.</w:t>
      </w:r>
      <w:r w:rsidR="008C7DD3">
        <w:rPr>
          <w:rFonts w:ascii="Times New Roman" w:eastAsiaTheme="minorEastAsia" w:hAnsi="Times New Roman" w:cs="Times New Roman"/>
          <w:sz w:val="24"/>
          <w:szCs w:val="24"/>
        </w:rPr>
        <w:t xml:space="preserve">  We model spatio-temporal variation as following a 1</w:t>
      </w:r>
      <w:r w:rsidR="008C7DD3" w:rsidRPr="008C7DD3">
        <w:rPr>
          <w:rFonts w:ascii="Times New Roman" w:eastAsiaTheme="minorEastAsia" w:hAnsi="Times New Roman" w:cs="Times New Roman"/>
          <w:sz w:val="24"/>
          <w:szCs w:val="24"/>
          <w:vertAlign w:val="superscript"/>
        </w:rPr>
        <w:t>st</w:t>
      </w:r>
      <w:r w:rsidR="008C7DD3">
        <w:rPr>
          <w:rFonts w:ascii="Times New Roman" w:eastAsiaTheme="minorEastAsia" w:hAnsi="Times New Roman" w:cs="Times New Roman"/>
          <w:sz w:val="24"/>
          <w:szCs w:val="24"/>
        </w:rPr>
        <w:t xml:space="preserve"> order autoregressive process, such that hotspots in density are predicted to persist for subsequent years, where the degree of autoregression is estimated from available data.  </w:t>
      </w:r>
    </w:p>
    <w:p w14:paraId="06D45E23" w14:textId="096F8D2A" w:rsidR="002516E8" w:rsidRDefault="002516E8" w:rsidP="00B46FB7">
      <w:pPr>
        <w:pStyle w:val="ListParagraph"/>
        <w:numPr>
          <w:ilvl w:val="0"/>
          <w:numId w:val="1"/>
        </w:num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Local temperature</w:t>
      </w:r>
      <w:r>
        <w:rPr>
          <w:rFonts w:ascii="Times New Roman" w:hAnsi="Times New Roman" w:cs="Times New Roman"/>
          <w:sz w:val="24"/>
          <w:szCs w:val="24"/>
        </w:rPr>
        <w:t xml:space="preserve">:  Identical to </w:t>
      </w:r>
      <w:r>
        <w:rPr>
          <w:rFonts w:ascii="Times New Roman" w:hAnsi="Times New Roman" w:cs="Times New Roman"/>
          <w:i/>
          <w:sz w:val="24"/>
          <w:szCs w:val="24"/>
        </w:rPr>
        <w:t>No covariates</w:t>
      </w:r>
      <w:r>
        <w:rPr>
          <w:rFonts w:ascii="Times New Roman" w:hAnsi="Times New Roman" w:cs="Times New Roman"/>
          <w:sz w:val="24"/>
          <w:szCs w:val="24"/>
        </w:rPr>
        <w:t xml:space="preserve"> except also including a quadratic effect of </w:t>
      </w:r>
      <w:r w:rsidR="005D0358">
        <w:rPr>
          <w:rFonts w:ascii="Times New Roman" w:hAnsi="Times New Roman" w:cs="Times New Roman"/>
          <w:sz w:val="24"/>
          <w:szCs w:val="24"/>
        </w:rPr>
        <w:t xml:space="preserve">local </w:t>
      </w:r>
      <w:r>
        <w:rPr>
          <w:rFonts w:ascii="Times New Roman" w:hAnsi="Times New Roman" w:cs="Times New Roman"/>
          <w:sz w:val="24"/>
          <w:szCs w:val="24"/>
        </w:rPr>
        <w:t>bottom temperature</w:t>
      </w:r>
      <w:r w:rsidR="008C7DD3">
        <w:rPr>
          <w:rFonts w:ascii="Times New Roman" w:hAnsi="Times New Roman" w:cs="Times New Roman"/>
          <w:sz w:val="24"/>
          <w:szCs w:val="24"/>
        </w:rPr>
        <w:t xml:space="preserve"> </w:t>
      </w:r>
      <m:oMath>
        <m:r>
          <w:rPr>
            <w:rFonts w:ascii="Cambria Math" w:hAnsi="Cambria Math" w:cs="Times New Roman"/>
            <w:sz w:val="24"/>
            <w:szCs w:val="24"/>
          </w:rPr>
          <m:t>T(s,t)</m:t>
        </m:r>
      </m:oMath>
      <w:r w:rsidR="005D0358">
        <w:rPr>
          <w:rFonts w:ascii="Times New Roman" w:eastAsiaTheme="minorEastAsia" w:hAnsi="Times New Roman" w:cs="Times New Roman"/>
          <w:sz w:val="24"/>
          <w:szCs w:val="24"/>
        </w:rPr>
        <w:t xml:space="preserve"> for each location </w:t>
      </w:r>
      <m:oMath>
        <m:r>
          <w:rPr>
            <w:rFonts w:ascii="Cambria Math" w:eastAsiaTheme="minorEastAsia" w:hAnsi="Cambria Math" w:cs="Times New Roman"/>
            <w:sz w:val="24"/>
            <w:szCs w:val="24"/>
          </w:rPr>
          <m:t>s</m:t>
        </m:r>
      </m:oMath>
      <w:r w:rsidR="005D0358">
        <w:rPr>
          <w:rFonts w:ascii="Times New Roman" w:eastAsiaTheme="minorEastAsia" w:hAnsi="Times New Roman" w:cs="Times New Roman"/>
          <w:sz w:val="24"/>
          <w:szCs w:val="24"/>
        </w:rPr>
        <w:t xml:space="preserve"> and year </w:t>
      </w:r>
      <m:oMath>
        <m:r>
          <w:rPr>
            <w:rFonts w:ascii="Cambria Math" w:eastAsiaTheme="minorEastAsia" w:hAnsi="Cambria Math" w:cs="Times New Roman"/>
            <w:sz w:val="24"/>
            <w:szCs w:val="24"/>
          </w:rPr>
          <m:t>t</m:t>
        </m:r>
      </m:oMath>
      <w:r w:rsidR="008C7DD3">
        <w:rPr>
          <w:rFonts w:ascii="Times New Roman" w:hAnsi="Times New Roman" w:cs="Times New Roman"/>
          <w:sz w:val="24"/>
          <w:szCs w:val="24"/>
        </w:rPr>
        <w:t>, representing a dome-shaped response of local density to local temperatures.</w:t>
      </w:r>
    </w:p>
    <w:p w14:paraId="298EC13A" w14:textId="34B0B1E0" w:rsidR="008C7DD3" w:rsidRPr="008C7DD3" w:rsidRDefault="008C7DD3" w:rsidP="00B46FB7">
      <w:pPr>
        <w:pStyle w:val="ListParagraph"/>
        <w:numPr>
          <w:ilvl w:val="0"/>
          <w:numId w:val="1"/>
        </w:num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Cold</w:t>
      </w:r>
      <w:r w:rsidRPr="008C7DD3">
        <w:rPr>
          <w:rFonts w:ascii="Times New Roman" w:hAnsi="Times New Roman" w:cs="Times New Roman"/>
          <w:sz w:val="24"/>
          <w:szCs w:val="24"/>
        </w:rPr>
        <w:t>-</w:t>
      </w:r>
      <w:r>
        <w:rPr>
          <w:rFonts w:ascii="Times New Roman" w:hAnsi="Times New Roman" w:cs="Times New Roman"/>
          <w:i/>
          <w:sz w:val="24"/>
          <w:szCs w:val="24"/>
        </w:rPr>
        <w:t>pool</w:t>
      </w:r>
      <w:r>
        <w:rPr>
          <w:rFonts w:ascii="Times New Roman" w:hAnsi="Times New Roman" w:cs="Times New Roman"/>
          <w:sz w:val="24"/>
          <w:szCs w:val="24"/>
        </w:rPr>
        <w:t xml:space="preserve">:  Identical to </w:t>
      </w:r>
      <w:r>
        <w:rPr>
          <w:rFonts w:ascii="Times New Roman" w:hAnsi="Times New Roman" w:cs="Times New Roman"/>
          <w:i/>
          <w:sz w:val="24"/>
          <w:szCs w:val="24"/>
        </w:rPr>
        <w:t>No covariates</w:t>
      </w:r>
      <w:r>
        <w:rPr>
          <w:rFonts w:ascii="Times New Roman" w:hAnsi="Times New Roman" w:cs="Times New Roman"/>
          <w:sz w:val="24"/>
          <w:szCs w:val="24"/>
        </w:rPr>
        <w:t xml:space="preserve"> except also including a </w:t>
      </w:r>
      <w:r w:rsidR="00D509D9">
        <w:rPr>
          <w:rFonts w:ascii="Times New Roman" w:hAnsi="Times New Roman" w:cs="Times New Roman"/>
          <w:sz w:val="24"/>
          <w:szCs w:val="24"/>
        </w:rPr>
        <w:t>spatially vary</w:t>
      </w:r>
      <w:r>
        <w:rPr>
          <w:rFonts w:ascii="Times New Roman" w:hAnsi="Times New Roman" w:cs="Times New Roman"/>
          <w:sz w:val="24"/>
          <w:szCs w:val="24"/>
        </w:rPr>
        <w:t xml:space="preserve">ing coefficient linking numbers density </w:t>
      </w:r>
      <m:oMath>
        <m:r>
          <w:rPr>
            <w:rFonts w:ascii="Cambria Math" w:hAnsi="Cambria Math" w:cs="Times New Roman"/>
            <w:sz w:val="24"/>
            <w:szCs w:val="24"/>
          </w:rPr>
          <m:t>n(s,t)</m:t>
        </m:r>
      </m:oMath>
      <w:r>
        <w:rPr>
          <w:rFonts w:ascii="Times New Roman" w:eastAsiaTheme="minorEastAsia" w:hAnsi="Times New Roman" w:cs="Times New Roman"/>
          <w:sz w:val="24"/>
          <w:szCs w:val="24"/>
        </w:rPr>
        <w:t xml:space="preserve"> and average weight </w:t>
      </w:r>
      <m:oMath>
        <m:r>
          <w:rPr>
            <w:rFonts w:ascii="Cambria Math" w:eastAsiaTheme="minorEastAsia" w:hAnsi="Cambria Math" w:cs="Times New Roman"/>
            <w:sz w:val="24"/>
            <w:szCs w:val="24"/>
          </w:rPr>
          <m:t>w(s,t)</m:t>
        </m:r>
      </m:oMath>
      <w:r>
        <w:rPr>
          <w:rFonts w:ascii="Times New Roman" w:eastAsiaTheme="minorEastAsia" w:hAnsi="Times New Roman" w:cs="Times New Roman"/>
          <w:sz w:val="24"/>
          <w:szCs w:val="24"/>
        </w:rPr>
        <w:t xml:space="preserve"> to cold-pool extent </w:t>
      </w:r>
      <m:oMath>
        <m:r>
          <w:rPr>
            <w:rFonts w:ascii="Cambria Math" w:eastAsiaTheme="minorEastAsia" w:hAnsi="Cambria Math" w:cs="Times New Roman"/>
            <w:sz w:val="24"/>
            <w:szCs w:val="24"/>
          </w:rPr>
          <m:t>C(t)</m:t>
        </m:r>
      </m:oMath>
      <w:r>
        <w:rPr>
          <w:rFonts w:ascii="Times New Roman" w:eastAsiaTheme="minorEastAsia" w:hAnsi="Times New Roman" w:cs="Times New Roman"/>
          <w:sz w:val="24"/>
          <w:szCs w:val="24"/>
        </w:rPr>
        <w:t>.</w:t>
      </w:r>
    </w:p>
    <w:p w14:paraId="6100A809" w14:textId="21DBC2A0" w:rsidR="008C7DD3" w:rsidRDefault="008C7DD3" w:rsidP="00B46FB7">
      <w:pPr>
        <w:pStyle w:val="ListParagraph"/>
        <w:numPr>
          <w:ilvl w:val="0"/>
          <w:numId w:val="1"/>
        </w:num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lastRenderedPageBreak/>
        <w:t>Both</w:t>
      </w:r>
      <w:r>
        <w:rPr>
          <w:rFonts w:ascii="Times New Roman" w:hAnsi="Times New Roman" w:cs="Times New Roman"/>
          <w:sz w:val="24"/>
          <w:szCs w:val="24"/>
        </w:rPr>
        <w:t xml:space="preserve">:  Identical to </w:t>
      </w:r>
      <w:r>
        <w:rPr>
          <w:rFonts w:ascii="Times New Roman" w:hAnsi="Times New Roman" w:cs="Times New Roman"/>
          <w:i/>
          <w:sz w:val="24"/>
          <w:szCs w:val="24"/>
        </w:rPr>
        <w:t>No covariates</w:t>
      </w:r>
      <w:r>
        <w:rPr>
          <w:rFonts w:ascii="Times New Roman" w:hAnsi="Times New Roman" w:cs="Times New Roman"/>
          <w:sz w:val="24"/>
          <w:szCs w:val="24"/>
        </w:rPr>
        <w:t xml:space="preserve"> except including both a quadratic effect of local temperature and a </w:t>
      </w:r>
      <w:r w:rsidR="00D509D9">
        <w:rPr>
          <w:rFonts w:ascii="Times New Roman" w:hAnsi="Times New Roman" w:cs="Times New Roman"/>
          <w:sz w:val="24"/>
          <w:szCs w:val="24"/>
        </w:rPr>
        <w:t>spatially vary</w:t>
      </w:r>
      <w:r>
        <w:rPr>
          <w:rFonts w:ascii="Times New Roman" w:hAnsi="Times New Roman" w:cs="Times New Roman"/>
          <w:sz w:val="24"/>
          <w:szCs w:val="24"/>
        </w:rPr>
        <w:t xml:space="preserve">ing effect of cold-pool extent.  </w:t>
      </w:r>
    </w:p>
    <w:p w14:paraId="49512F55" w14:textId="44083EC0" w:rsidR="008C7DD3" w:rsidRDefault="008C7DD3"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We fit each of these four models to two different data sets for each species:</w:t>
      </w:r>
    </w:p>
    <w:p w14:paraId="2CFCE482" w14:textId="40042C27" w:rsidR="008C7DD3" w:rsidRPr="008C7DD3" w:rsidRDefault="008C7DD3" w:rsidP="00B46FB7">
      <w:pPr>
        <w:pStyle w:val="ListParagraph"/>
        <w:numPr>
          <w:ilvl w:val="0"/>
          <w:numId w:val="2"/>
        </w:num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Full data</w:t>
      </w:r>
      <w:r>
        <w:rPr>
          <w:rFonts w:ascii="Times New Roman" w:hAnsi="Times New Roman" w:cs="Times New Roman"/>
          <w:sz w:val="24"/>
          <w:szCs w:val="24"/>
        </w:rPr>
        <w:t xml:space="preserve">:  We fit to all bottom-trawl data 1982-2017 available online in Jan. 2018.  Given that </w:t>
      </w:r>
      <w:r w:rsidR="00212101">
        <w:rPr>
          <w:rFonts w:ascii="Times New Roman" w:hAnsi="Times New Roman" w:cs="Times New Roman"/>
          <w:sz w:val="24"/>
          <w:szCs w:val="24"/>
        </w:rPr>
        <w:t xml:space="preserve">I am </w:t>
      </w:r>
      <w:r>
        <w:rPr>
          <w:rFonts w:ascii="Times New Roman" w:hAnsi="Times New Roman" w:cs="Times New Roman"/>
          <w:sz w:val="24"/>
          <w:szCs w:val="24"/>
        </w:rPr>
        <w:t>predict</w:t>
      </w:r>
      <w:r w:rsidR="005B715E">
        <w:rPr>
          <w:rFonts w:ascii="Times New Roman" w:hAnsi="Times New Roman" w:cs="Times New Roman"/>
          <w:sz w:val="24"/>
          <w:szCs w:val="24"/>
        </w:rPr>
        <w:t>ing</w:t>
      </w:r>
      <w:r>
        <w:rPr>
          <w:rFonts w:ascii="Times New Roman" w:hAnsi="Times New Roman" w:cs="Times New Roman"/>
          <w:sz w:val="24"/>
          <w:szCs w:val="24"/>
        </w:rPr>
        <w:t xml:space="preserve"> density for this same set of years 1982-2017, </w:t>
      </w:r>
      <w:r w:rsidR="00212101">
        <w:rPr>
          <w:rFonts w:ascii="Times New Roman" w:hAnsi="Times New Roman" w:cs="Times New Roman"/>
          <w:sz w:val="24"/>
          <w:szCs w:val="24"/>
        </w:rPr>
        <w:t>I</w:t>
      </w:r>
      <w:r>
        <w:rPr>
          <w:rFonts w:ascii="Times New Roman" w:hAnsi="Times New Roman" w:cs="Times New Roman"/>
          <w:sz w:val="24"/>
          <w:szCs w:val="24"/>
        </w:rPr>
        <w:t xml:space="preserve"> do not need to impose any restrictions of model intercepts,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w</m:t>
            </m:r>
          </m:sub>
        </m:sSub>
        <m:r>
          <w:rPr>
            <w:rFonts w:ascii="Cambria Math" w:hAnsi="Cambria Math" w:cs="Times New Roman"/>
            <w:sz w:val="24"/>
            <w:szCs w:val="24"/>
          </w:rPr>
          <m:t>(t)</m:t>
        </m:r>
      </m:oMath>
      <w:r>
        <w:rPr>
          <w:rFonts w:ascii="Times New Roman" w:eastAsiaTheme="minorEastAsia" w:hAnsi="Times New Roman" w:cs="Times New Roman"/>
          <w:iCs/>
          <w:sz w:val="24"/>
          <w:szCs w:val="24"/>
        </w:rPr>
        <w:t>, and treat them as fixed effects.</w:t>
      </w:r>
    </w:p>
    <w:p w14:paraId="0B5C3122" w14:textId="431AA361" w:rsidR="008C7DD3" w:rsidRDefault="008C7DD3" w:rsidP="00B46FB7">
      <w:pPr>
        <w:pStyle w:val="ListParagraph"/>
        <w:numPr>
          <w:ilvl w:val="0"/>
          <w:numId w:val="2"/>
        </w:num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Reduced data: </w:t>
      </w:r>
      <w:r>
        <w:rPr>
          <w:rFonts w:ascii="Times New Roman" w:hAnsi="Times New Roman" w:cs="Times New Roman"/>
          <w:sz w:val="24"/>
          <w:szCs w:val="24"/>
        </w:rPr>
        <w:t xml:space="preserve">We fit to data 1982-2014 and forecast future distribution shifts 2015-2017.  Given that </w:t>
      </w:r>
      <w:r w:rsidR="00212101">
        <w:rPr>
          <w:rFonts w:ascii="Times New Roman" w:hAnsi="Times New Roman" w:cs="Times New Roman"/>
          <w:sz w:val="24"/>
          <w:szCs w:val="24"/>
        </w:rPr>
        <w:t xml:space="preserve">I </w:t>
      </w:r>
      <w:r>
        <w:rPr>
          <w:rFonts w:ascii="Times New Roman" w:hAnsi="Times New Roman" w:cs="Times New Roman"/>
          <w:sz w:val="24"/>
          <w:szCs w:val="24"/>
        </w:rPr>
        <w:t xml:space="preserve">have no data to inform intercept estimates for forecast years, </w:t>
      </w:r>
      <w:r w:rsidR="00212101">
        <w:rPr>
          <w:rFonts w:ascii="Times New Roman" w:hAnsi="Times New Roman" w:cs="Times New Roman"/>
          <w:sz w:val="24"/>
          <w:szCs w:val="24"/>
        </w:rPr>
        <w:t xml:space="preserve">I </w:t>
      </w:r>
      <w:r>
        <w:rPr>
          <w:rFonts w:ascii="Times New Roman" w:hAnsi="Times New Roman" w:cs="Times New Roman"/>
          <w:sz w:val="24"/>
          <w:szCs w:val="24"/>
        </w:rPr>
        <w:t xml:space="preserve">impose a hyperdistribution on model intercepts, which </w:t>
      </w:r>
      <w:r w:rsidR="00212101">
        <w:rPr>
          <w:rFonts w:ascii="Times New Roman" w:hAnsi="Times New Roman" w:cs="Times New Roman"/>
          <w:sz w:val="24"/>
          <w:szCs w:val="24"/>
        </w:rPr>
        <w:t xml:space="preserve">I </w:t>
      </w:r>
      <w:r>
        <w:rPr>
          <w:rFonts w:ascii="Times New Roman" w:hAnsi="Times New Roman" w:cs="Times New Roman"/>
          <w:sz w:val="24"/>
          <w:szCs w:val="24"/>
        </w:rPr>
        <w:t xml:space="preserve">specify as following a random-walk process where the variance of this random walk is estimated from available data.   </w:t>
      </w:r>
    </w:p>
    <w:p w14:paraId="6FD770C5" w14:textId="7D82899C" w:rsidR="008C7DD3" w:rsidRPr="008C7DD3" w:rsidRDefault="008C7DD3" w:rsidP="00B46FB7">
      <w:pPr>
        <w:tabs>
          <w:tab w:val="left" w:pos="360"/>
        </w:tabs>
        <w:spacing w:after="0" w:line="480" w:lineRule="auto"/>
      </w:pPr>
      <w:r>
        <w:rPr>
          <w:rFonts w:ascii="Times New Roman" w:hAnsi="Times New Roman" w:cs="Times New Roman"/>
          <w:sz w:val="24"/>
          <w:szCs w:val="24"/>
        </w:rPr>
        <w:t xml:space="preserve">We fit all models using R package </w:t>
      </w:r>
      <w:r w:rsidRPr="008C7DD3">
        <w:rPr>
          <w:rFonts w:ascii="Times New Roman" w:hAnsi="Times New Roman" w:cs="Times New Roman"/>
          <w:i/>
          <w:sz w:val="24"/>
          <w:szCs w:val="24"/>
        </w:rPr>
        <w:t>VAST</w:t>
      </w:r>
      <w:r>
        <w:rPr>
          <w:rFonts w:ascii="Times New Roman" w:hAnsi="Times New Roman" w:cs="Times New Roman"/>
          <w:i/>
          <w:sz w:val="24"/>
          <w:szCs w:val="24"/>
        </w:rPr>
        <w:t xml:space="preserve"> </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ADDIN ZOTERO_ITEM CSL_CITATION {"citationID":"m2mOxKRt","properties":{"formattedCitation":"(Thorson, 2019b; Thorson and Barnett, 2017)","plainCitation":"(Thorson, 2019b; Thorson and Barnett, 2017)","noteIndex":0},"citationItems":[{"id":4973,"uris":["http://zotero.org/users/251206/items/SKX65JVM"],"uri":["http://zotero.org/users/251206/items/SKX65JVM"],"itemData":{"id":4973,"type":"article-journal","title":"Guidance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T."}],"issued":{"date-parts":[["2019",2,1]]}}},{"id":1909,"uris":["http://zotero.org/users/251206/items/GNT2U8Z6"],"uri":["http://zotero.org/users/251206/items/GNT2U8Z6"],"itemData":{"id":1909,"type":"article-journal","title":"Comparing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K."}],"issued":{"date-parts":[["2017",5,1]]}}}],"schema":"https://github.com/citation-style-language/schema/raw/master/csl-citation.json"} </w:instrText>
      </w:r>
      <w:r>
        <w:rPr>
          <w:rFonts w:ascii="Times New Roman" w:hAnsi="Times New Roman" w:cs="Times New Roman"/>
          <w:i/>
          <w:sz w:val="24"/>
          <w:szCs w:val="24"/>
        </w:rPr>
        <w:fldChar w:fldCharType="separate"/>
      </w:r>
      <w:r w:rsidRPr="008C7DD3">
        <w:rPr>
          <w:rFonts w:ascii="Times New Roman" w:hAnsi="Times New Roman" w:cs="Times New Roman"/>
          <w:sz w:val="24"/>
        </w:rPr>
        <w:t>(Thorson, 2019b; Thorson and Barnett, 2017)</w:t>
      </w:r>
      <w:r>
        <w:rPr>
          <w:rFonts w:ascii="Times New Roman" w:hAnsi="Times New Roman" w:cs="Times New Roman"/>
          <w:i/>
          <w:sz w:val="24"/>
          <w:szCs w:val="24"/>
        </w:rPr>
        <w:fldChar w:fldCharType="end"/>
      </w:r>
      <w:r>
        <w:rPr>
          <w:rFonts w:ascii="Times New Roman" w:hAnsi="Times New Roman" w:cs="Times New Roman"/>
          <w:sz w:val="24"/>
          <w:szCs w:val="24"/>
        </w:rPr>
        <w:t xml:space="preserve"> using Microsoft Open 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{"citationID":"E3NbblgT","properties":{"formattedCitation":"(R Core Team, 2017)","plainCitation":"(R Core Team, 2017)","noteIndex":0},"citationItems":[{"id":64,"uris":["http://zotero.org/users/251206/items/JSXMSK8V"],"uri":["http://zotero.org/users/251206/items/JSXMSK8V"],"itemData":{"id":64,"type":"book","title":"R: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Pr>
          <w:rFonts w:ascii="Times New Roman" w:hAnsi="Times New Roman" w:cs="Times New Roman"/>
          <w:sz w:val="24"/>
          <w:szCs w:val="24"/>
        </w:rPr>
        <w:fldChar w:fldCharType="separate"/>
      </w:r>
      <w:r w:rsidRPr="008C7DD3">
        <w:rPr>
          <w:rFonts w:ascii="Times New Roman" w:hAnsi="Times New Roman" w:cs="Times New Roman"/>
          <w:sz w:val="24"/>
        </w:rPr>
        <w:t>(R Core Team,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i/>
          <w:sz w:val="24"/>
          <w:szCs w:val="24"/>
        </w:rPr>
        <w:t xml:space="preserve">VAST </w:t>
      </w:r>
      <w:r>
        <w:rPr>
          <w:rFonts w:ascii="Times New Roman" w:hAnsi="Times New Roman" w:cs="Times New Roman"/>
          <w:sz w:val="24"/>
          <w:szCs w:val="24"/>
        </w:rPr>
        <w:t xml:space="preserve">estimates fixed effects using </w:t>
      </w:r>
      <w:r>
        <w:rPr>
          <w:rFonts w:ascii="Times New Roman" w:hAnsi="Times New Roman" w:cs="Times New Roman"/>
          <w:i/>
          <w:sz w:val="24"/>
          <w:szCs w:val="24"/>
        </w:rPr>
        <w:t>TMB</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{"citationID":"9BRhBrFV","properties":{"formattedCitation":"(Kristensen et al., 2016)","plainCitation":"(Kristensen et al., 2016)","noteIndex":0},"citationItems":[{"id":1864,"uris":["http://zotero.org/users/251206/items/R4F5M29P"],"uri":["http://zotero.org/users/251206/items/R4F5M29P"],"itemData":{"id":1864,"type":"article-journal","title":"TMB: Automatic Differentiation and Laplace Approximation","container-title":"Journal of Statistical Software","page":"1-21","volume":"70","issue":"5","DOI":"10.18637/jss.v070.i05","author":[{"family":"Kristensen","given":"Kasper"},{"family":"Nielsen","given":"Anders"},{"family":"Berg","given":"Casper W."},{"family":"Skaug","given":"Hans"},{"family":"Bell","given":"Bradley M."}],"issued":{"date-parts":[["2016"]]}}}],"schema":"https://github.com/citation-style-language/schema/raw/master/csl-citation.json"} </w:instrText>
      </w:r>
      <w:r>
        <w:rPr>
          <w:rFonts w:ascii="Times New Roman" w:hAnsi="Times New Roman" w:cs="Times New Roman"/>
          <w:sz w:val="24"/>
          <w:szCs w:val="24"/>
        </w:rPr>
        <w:fldChar w:fldCharType="separate"/>
      </w:r>
      <w:r w:rsidRPr="008C7DD3">
        <w:rPr>
          <w:rFonts w:ascii="Times New Roman" w:hAnsi="Times New Roman" w:cs="Times New Roman"/>
          <w:sz w:val="24"/>
        </w:rPr>
        <w:t>(Kristensen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and also applies a stochastic partial differential equation approximation to </w:t>
      </w:r>
      <w:r w:rsidR="001A4086">
        <w:rPr>
          <w:rFonts w:ascii="Times New Roman" w:hAnsi="Times New Roman" w:cs="Times New Roman"/>
          <w:sz w:val="24"/>
          <w:szCs w:val="24"/>
        </w:rPr>
        <w:t xml:space="preserve">a Matern spatial correlation function </w:t>
      </w:r>
      <w:r w:rsidR="001A4086">
        <w:rPr>
          <w:rFonts w:ascii="Times New Roman" w:hAnsi="Times New Roman" w:cs="Times New Roman"/>
          <w:sz w:val="24"/>
          <w:szCs w:val="24"/>
        </w:rPr>
        <w:fldChar w:fldCharType="begin"/>
      </w:r>
      <w:r w:rsidR="001A4086">
        <w:rPr>
          <w:rFonts w:ascii="Times New Roman" w:hAnsi="Times New Roman" w:cs="Times New Roman"/>
          <w:sz w:val="24"/>
          <w:szCs w:val="24"/>
        </w:rPr>
        <w:instrText xml:space="preserve"> ADDIN ZOTERO_ITEM CSL_CITATION {"citationID":"4Jz3sSBR","properties":{"formattedCitation":"(Lindgren et al., 2011)","plainCitation":"(Lindgren et al., 2011)","noteIndex":0},"citationItems":[{"id":1074,"uris":["http://zotero.org/users/251206/items/K4DT5SFV"],"uri":["http://zotero.org/users/251206/items/K4DT5SFV"],"itemData":{"id":1074,"type":"article-journal","title":"An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sidR="001A4086">
        <w:rPr>
          <w:rFonts w:ascii="Times New Roman" w:hAnsi="Times New Roman" w:cs="Times New Roman"/>
          <w:sz w:val="24"/>
          <w:szCs w:val="24"/>
        </w:rPr>
        <w:fldChar w:fldCharType="separate"/>
      </w:r>
      <w:r w:rsidR="001A4086" w:rsidRPr="001A4086">
        <w:rPr>
          <w:rFonts w:ascii="Times New Roman" w:hAnsi="Times New Roman" w:cs="Times New Roman"/>
          <w:sz w:val="24"/>
        </w:rPr>
        <w:t>(Lindgren et al., 2011)</w:t>
      </w:r>
      <w:r w:rsidR="001A4086">
        <w:rPr>
          <w:rFonts w:ascii="Times New Roman" w:hAnsi="Times New Roman" w:cs="Times New Roman"/>
          <w:sz w:val="24"/>
          <w:szCs w:val="24"/>
        </w:rPr>
        <w:fldChar w:fldCharType="end"/>
      </w:r>
      <w:r w:rsidR="001A4086">
        <w:rPr>
          <w:rFonts w:ascii="Times New Roman" w:hAnsi="Times New Roman" w:cs="Times New Roman"/>
          <w:sz w:val="24"/>
          <w:szCs w:val="24"/>
        </w:rPr>
        <w:t xml:space="preserve"> to reduce computational requirements.  We use 200 “knots” while confirming that results are qualitatively similar even when changing this number.   </w:t>
      </w:r>
    </w:p>
    <w:p w14:paraId="7D13CCB8" w14:textId="77777777" w:rsidR="00B34CC3" w:rsidRPr="00B82CC1" w:rsidRDefault="00B34CC3" w:rsidP="00B46FB7">
      <w:pPr>
        <w:tabs>
          <w:tab w:val="left" w:pos="360"/>
        </w:tabs>
        <w:spacing w:after="0" w:line="480" w:lineRule="auto"/>
        <w:rPr>
          <w:rFonts w:ascii="Times New Roman" w:hAnsi="Times New Roman" w:cs="Times New Roman"/>
          <w:b/>
          <w:sz w:val="28"/>
          <w:szCs w:val="28"/>
        </w:rPr>
      </w:pPr>
      <w:r w:rsidRPr="00B82CC1">
        <w:rPr>
          <w:rFonts w:ascii="Times New Roman" w:hAnsi="Times New Roman" w:cs="Times New Roman"/>
          <w:b/>
          <w:sz w:val="28"/>
          <w:szCs w:val="28"/>
        </w:rPr>
        <w:t>Results</w:t>
      </w:r>
    </w:p>
    <w:p w14:paraId="0FF1A700" w14:textId="42C24C2F" w:rsidR="00B34CC3" w:rsidRPr="0020597C" w:rsidRDefault="00B34CC3"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6A0E2D">
        <w:rPr>
          <w:rFonts w:ascii="Times New Roman" w:hAnsi="Times New Roman" w:cs="Times New Roman"/>
          <w:sz w:val="24"/>
          <w:szCs w:val="24"/>
        </w:rPr>
        <w:t xml:space="preserve">Plotting the </w:t>
      </w:r>
      <w:r w:rsidR="00D509D9">
        <w:rPr>
          <w:rFonts w:ascii="Times New Roman" w:hAnsi="Times New Roman" w:cs="Times New Roman"/>
          <w:sz w:val="24"/>
          <w:szCs w:val="24"/>
        </w:rPr>
        <w:t>spatially vary</w:t>
      </w:r>
      <w:r w:rsidR="00DF5DB7">
        <w:rPr>
          <w:rFonts w:ascii="Times New Roman" w:hAnsi="Times New Roman" w:cs="Times New Roman"/>
          <w:sz w:val="24"/>
          <w:szCs w:val="24"/>
        </w:rPr>
        <w:t xml:space="preserve">ing </w:t>
      </w:r>
      <w:r w:rsidR="00552681">
        <w:rPr>
          <w:rFonts w:ascii="Times New Roman" w:hAnsi="Times New Roman" w:cs="Times New Roman"/>
          <w:sz w:val="24"/>
          <w:szCs w:val="24"/>
        </w:rPr>
        <w:t>effect</w:t>
      </w:r>
      <w:r w:rsidR="00DF5DB7">
        <w:rPr>
          <w:rFonts w:ascii="Times New Roman" w:hAnsi="Times New Roman" w:cs="Times New Roman"/>
          <w:sz w:val="24"/>
          <w:szCs w:val="24"/>
        </w:rPr>
        <w:t xml:space="preserve"> </w:t>
      </w:r>
      <w:r w:rsidR="00552681">
        <w:rPr>
          <w:rFonts w:ascii="Times New Roman" w:hAnsi="Times New Roman" w:cs="Times New Roman"/>
          <w:sz w:val="24"/>
          <w:szCs w:val="24"/>
        </w:rPr>
        <w:t>of</w:t>
      </w:r>
      <w:r w:rsidR="00DF5DB7">
        <w:rPr>
          <w:rFonts w:ascii="Times New Roman" w:hAnsi="Times New Roman" w:cs="Times New Roman"/>
          <w:sz w:val="24"/>
          <w:szCs w:val="24"/>
        </w:rPr>
        <w:t xml:space="preserve"> cold-pool extent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m:t>
            </m:r>
          </m:sub>
        </m:sSub>
      </m:oMath>
      <w:r w:rsidR="00DF5DB7">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2</m:t>
            </m:r>
          </m:sub>
        </m:sSub>
      </m:oMath>
      <w:r w:rsidR="00DF5DB7">
        <w:rPr>
          <w:rFonts w:ascii="Times New Roman" w:eastAsiaTheme="minorEastAsia" w:hAnsi="Times New Roman" w:cs="Times New Roman"/>
          <w:sz w:val="24"/>
          <w:szCs w:val="24"/>
        </w:rPr>
        <w:t xml:space="preserve">) </w:t>
      </w:r>
      <w:r w:rsidR="006A0E2D">
        <w:rPr>
          <w:rFonts w:ascii="Times New Roman" w:eastAsiaTheme="minorEastAsia" w:hAnsi="Times New Roman" w:cs="Times New Roman"/>
          <w:sz w:val="24"/>
          <w:szCs w:val="24"/>
        </w:rPr>
        <w:t xml:space="preserve">shows how distribution is expected to differ in years with high cold-pool extent relative to years with average conditions.  Visualizing this effect </w:t>
      </w:r>
      <w:r w:rsidR="00DF5DB7">
        <w:rPr>
          <w:rFonts w:ascii="Times New Roman" w:eastAsiaTheme="minorEastAsia" w:hAnsi="Times New Roman" w:cs="Times New Roman"/>
          <w:sz w:val="24"/>
          <w:szCs w:val="24"/>
        </w:rPr>
        <w:t>for four biologically diverse species shows the</w:t>
      </w:r>
      <w:r w:rsidR="0020597C">
        <w:rPr>
          <w:rFonts w:ascii="Times New Roman" w:eastAsiaTheme="minorEastAsia" w:hAnsi="Times New Roman" w:cs="Times New Roman"/>
          <w:sz w:val="24"/>
          <w:szCs w:val="24"/>
        </w:rPr>
        <w:t xml:space="preserve"> varied impacts of the cold-pool on species distribution in the Eastern Bering Sea (Fig. 3)</w:t>
      </w:r>
      <w:r w:rsidR="00DF5DB7">
        <w:rPr>
          <w:rFonts w:ascii="Times New Roman" w:eastAsiaTheme="minorEastAsia" w:hAnsi="Times New Roman" w:cs="Times New Roman"/>
          <w:sz w:val="24"/>
          <w:szCs w:val="24"/>
        </w:rPr>
        <w:t xml:space="preserve">.  </w:t>
      </w:r>
      <w:r w:rsidR="0020597C">
        <w:rPr>
          <w:rFonts w:ascii="Times New Roman" w:eastAsiaTheme="minorEastAsia" w:hAnsi="Times New Roman" w:cs="Times New Roman"/>
          <w:i/>
          <w:sz w:val="24"/>
          <w:szCs w:val="24"/>
        </w:rPr>
        <w:t>Gadus chalcogrammus</w:t>
      </w:r>
      <w:r w:rsidR="0020597C">
        <w:rPr>
          <w:rFonts w:ascii="Times New Roman" w:eastAsiaTheme="minorEastAsia" w:hAnsi="Times New Roman" w:cs="Times New Roman"/>
          <w:sz w:val="24"/>
          <w:szCs w:val="24"/>
        </w:rPr>
        <w:t xml:space="preserve"> shows increased densities in the southern outer domain near the Aleutian Islands during years with high </w:t>
      </w:r>
      <w:r w:rsidR="00A349B6">
        <w:rPr>
          <w:rFonts w:ascii="Times New Roman" w:eastAsiaTheme="minorEastAsia" w:hAnsi="Times New Roman" w:cs="Times New Roman"/>
          <w:sz w:val="24"/>
          <w:szCs w:val="24"/>
        </w:rPr>
        <w:t>cold-pool</w:t>
      </w:r>
      <w:r w:rsidR="0020597C">
        <w:rPr>
          <w:rFonts w:ascii="Times New Roman" w:eastAsiaTheme="minorEastAsia" w:hAnsi="Times New Roman" w:cs="Times New Roman"/>
          <w:sz w:val="24"/>
          <w:szCs w:val="24"/>
        </w:rPr>
        <w:t xml:space="preserve"> extent, and this affects expected biomass per </w:t>
      </w:r>
      <w:r w:rsidR="006A0E2D">
        <w:rPr>
          <w:rFonts w:ascii="Times New Roman" w:eastAsiaTheme="minorEastAsia" w:hAnsi="Times New Roman" w:cs="Times New Roman"/>
          <w:sz w:val="24"/>
          <w:szCs w:val="24"/>
        </w:rPr>
        <w:t>individual</w:t>
      </w:r>
      <w:r w:rsidR="0020597C">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2</m:t>
            </m:r>
          </m:sub>
        </m:sSub>
      </m:oMath>
      <w:r w:rsidR="0020597C">
        <w:rPr>
          <w:rFonts w:ascii="Times New Roman" w:eastAsiaTheme="minorEastAsia" w:hAnsi="Times New Roman" w:cs="Times New Roman"/>
          <w:sz w:val="24"/>
          <w:szCs w:val="24"/>
        </w:rPr>
        <w:t xml:space="preserve">) more strongly than </w:t>
      </w:r>
      <w:r w:rsidR="006A0E2D">
        <w:rPr>
          <w:rFonts w:ascii="Times New Roman" w:eastAsiaTheme="minorEastAsia" w:hAnsi="Times New Roman" w:cs="Times New Roman"/>
          <w:sz w:val="24"/>
          <w:szCs w:val="24"/>
        </w:rPr>
        <w:lastRenderedPageBreak/>
        <w:t xml:space="preserve">numbers density </w:t>
      </w:r>
      <w:r w:rsidR="0020597C">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m:t>
            </m:r>
          </m:sub>
        </m:sSub>
      </m:oMath>
      <w:r w:rsidR="0020597C">
        <w:rPr>
          <w:rFonts w:ascii="Times New Roman" w:eastAsiaTheme="minorEastAsia" w:hAnsi="Times New Roman" w:cs="Times New Roman"/>
          <w:sz w:val="24"/>
          <w:szCs w:val="24"/>
        </w:rPr>
        <w:t xml:space="preserve">).  </w:t>
      </w:r>
      <w:r w:rsidR="0020597C" w:rsidRPr="0020597C">
        <w:rPr>
          <w:rFonts w:ascii="Times New Roman" w:eastAsiaTheme="minorEastAsia" w:hAnsi="Times New Roman" w:cs="Times New Roman"/>
          <w:i/>
          <w:sz w:val="24"/>
          <w:szCs w:val="24"/>
        </w:rPr>
        <w:t>Hippoglossus stenolepsis</w:t>
      </w:r>
      <w:r w:rsidR="0020597C">
        <w:rPr>
          <w:rFonts w:ascii="Times New Roman" w:eastAsiaTheme="minorEastAsia" w:hAnsi="Times New Roman" w:cs="Times New Roman"/>
          <w:sz w:val="24"/>
          <w:szCs w:val="24"/>
        </w:rPr>
        <w:t xml:space="preserve"> shows elevated </w:t>
      </w:r>
      <w:r w:rsidR="006A0E2D">
        <w:rPr>
          <w:rFonts w:ascii="Times New Roman" w:eastAsiaTheme="minorEastAsia" w:hAnsi="Times New Roman" w:cs="Times New Roman"/>
          <w:sz w:val="24"/>
          <w:szCs w:val="24"/>
        </w:rPr>
        <w:t xml:space="preserve">numbers-density (and therefore encounter probability) </w:t>
      </w:r>
      <w:r w:rsidR="0020597C">
        <w:rPr>
          <w:rFonts w:ascii="Times New Roman" w:eastAsiaTheme="minorEastAsia" w:hAnsi="Times New Roman" w:cs="Times New Roman"/>
          <w:sz w:val="24"/>
          <w:szCs w:val="24"/>
        </w:rPr>
        <w:t xml:space="preserve">in the middle domain during years with high </w:t>
      </w:r>
      <w:r w:rsidR="00533B53">
        <w:rPr>
          <w:rFonts w:ascii="Times New Roman" w:eastAsiaTheme="minorEastAsia" w:hAnsi="Times New Roman" w:cs="Times New Roman"/>
          <w:sz w:val="24"/>
          <w:szCs w:val="24"/>
        </w:rPr>
        <w:t xml:space="preserve">cold-pool </w:t>
      </w:r>
      <w:r w:rsidR="0020597C">
        <w:rPr>
          <w:rFonts w:ascii="Times New Roman" w:eastAsiaTheme="minorEastAsia" w:hAnsi="Times New Roman" w:cs="Times New Roman"/>
          <w:sz w:val="24"/>
          <w:szCs w:val="24"/>
        </w:rPr>
        <w:t xml:space="preserve">extent, but also elevated biomass-per-encounter in nearshore waters.   By contrast, </w:t>
      </w:r>
      <w:r w:rsidR="00715CC9">
        <w:rPr>
          <w:rFonts w:ascii="Times New Roman" w:eastAsiaTheme="minorEastAsia" w:hAnsi="Times New Roman" w:cs="Times New Roman"/>
          <w:i/>
          <w:sz w:val="24"/>
          <w:szCs w:val="24"/>
        </w:rPr>
        <w:t xml:space="preserve">Atherestes stomias </w:t>
      </w:r>
      <w:r w:rsidR="0020597C">
        <w:rPr>
          <w:rFonts w:ascii="Times New Roman" w:eastAsiaTheme="minorEastAsia" w:hAnsi="Times New Roman" w:cs="Times New Roman"/>
          <w:sz w:val="24"/>
          <w:szCs w:val="24"/>
        </w:rPr>
        <w:t xml:space="preserve">shows elevated </w:t>
      </w:r>
      <w:r w:rsidR="00715CC9">
        <w:rPr>
          <w:rFonts w:ascii="Times New Roman" w:eastAsiaTheme="minorEastAsia" w:hAnsi="Times New Roman" w:cs="Times New Roman"/>
          <w:sz w:val="24"/>
          <w:szCs w:val="24"/>
        </w:rPr>
        <w:t xml:space="preserve">numbers-density and biomass-per-encounter </w:t>
      </w:r>
      <w:r w:rsidR="0020597C">
        <w:rPr>
          <w:rFonts w:ascii="Times New Roman" w:eastAsiaTheme="minorEastAsia" w:hAnsi="Times New Roman" w:cs="Times New Roman"/>
          <w:sz w:val="24"/>
          <w:szCs w:val="24"/>
        </w:rPr>
        <w:t xml:space="preserve">in the </w:t>
      </w:r>
      <w:r w:rsidR="00715CC9">
        <w:rPr>
          <w:rFonts w:ascii="Times New Roman" w:eastAsiaTheme="minorEastAsia" w:hAnsi="Times New Roman" w:cs="Times New Roman"/>
          <w:sz w:val="24"/>
          <w:szCs w:val="24"/>
        </w:rPr>
        <w:t xml:space="preserve">outer </w:t>
      </w:r>
      <w:r w:rsidR="0020597C">
        <w:rPr>
          <w:rFonts w:ascii="Times New Roman" w:eastAsiaTheme="minorEastAsia" w:hAnsi="Times New Roman" w:cs="Times New Roman"/>
          <w:sz w:val="24"/>
          <w:szCs w:val="24"/>
        </w:rPr>
        <w:t xml:space="preserve">domain during years with large </w:t>
      </w:r>
      <w:r w:rsidR="00A349B6">
        <w:rPr>
          <w:rFonts w:ascii="Times New Roman" w:eastAsiaTheme="minorEastAsia" w:hAnsi="Times New Roman" w:cs="Times New Roman"/>
          <w:sz w:val="24"/>
          <w:szCs w:val="24"/>
        </w:rPr>
        <w:t xml:space="preserve">cold-pool </w:t>
      </w:r>
      <w:r w:rsidR="0020597C">
        <w:rPr>
          <w:rFonts w:ascii="Times New Roman" w:eastAsiaTheme="minorEastAsia" w:hAnsi="Times New Roman" w:cs="Times New Roman"/>
          <w:sz w:val="24"/>
          <w:szCs w:val="24"/>
        </w:rPr>
        <w:t xml:space="preserve">extent, and </w:t>
      </w:r>
      <w:r w:rsidR="0020597C">
        <w:rPr>
          <w:rFonts w:ascii="Times New Roman" w:eastAsiaTheme="minorEastAsia" w:hAnsi="Times New Roman" w:cs="Times New Roman"/>
          <w:i/>
          <w:sz w:val="24"/>
          <w:szCs w:val="24"/>
        </w:rPr>
        <w:t xml:space="preserve">Chionectes bairdi </w:t>
      </w:r>
      <w:r w:rsidR="0020597C">
        <w:rPr>
          <w:rFonts w:ascii="Times New Roman" w:eastAsiaTheme="minorEastAsia" w:hAnsi="Times New Roman" w:cs="Times New Roman"/>
          <w:sz w:val="24"/>
          <w:szCs w:val="24"/>
        </w:rPr>
        <w:t xml:space="preserve">shows relatively little response in </w:t>
      </w:r>
      <w:r w:rsidR="006A0E2D">
        <w:rPr>
          <w:rFonts w:ascii="Times New Roman" w:eastAsiaTheme="minorEastAsia" w:hAnsi="Times New Roman" w:cs="Times New Roman"/>
          <w:sz w:val="24"/>
          <w:szCs w:val="24"/>
        </w:rPr>
        <w:t xml:space="preserve">numbers-density (and therefore </w:t>
      </w:r>
      <w:r w:rsidR="0020597C">
        <w:rPr>
          <w:rFonts w:ascii="Times New Roman" w:eastAsiaTheme="minorEastAsia" w:hAnsi="Times New Roman" w:cs="Times New Roman"/>
          <w:sz w:val="24"/>
          <w:szCs w:val="24"/>
        </w:rPr>
        <w:t>encounter probability</w:t>
      </w:r>
      <w:r w:rsidR="006A0E2D">
        <w:rPr>
          <w:rFonts w:ascii="Times New Roman" w:eastAsiaTheme="minorEastAsia" w:hAnsi="Times New Roman" w:cs="Times New Roman"/>
          <w:sz w:val="24"/>
          <w:szCs w:val="24"/>
        </w:rPr>
        <w:t>)</w:t>
      </w:r>
      <w:r w:rsidR="0020597C">
        <w:rPr>
          <w:rFonts w:ascii="Times New Roman" w:eastAsiaTheme="minorEastAsia" w:hAnsi="Times New Roman" w:cs="Times New Roman"/>
          <w:sz w:val="24"/>
          <w:szCs w:val="24"/>
        </w:rPr>
        <w:t xml:space="preserve"> in years with a large cold-pool </w:t>
      </w:r>
      <w:r w:rsidR="006A0E2D">
        <w:rPr>
          <w:rFonts w:ascii="Times New Roman" w:eastAsiaTheme="minorEastAsia" w:hAnsi="Times New Roman" w:cs="Times New Roman"/>
          <w:sz w:val="24"/>
          <w:szCs w:val="24"/>
        </w:rPr>
        <w:t xml:space="preserve">(i.e., the color-scale in the bottom-left panel of Fig. 3 is very small), </w:t>
      </w:r>
      <w:r w:rsidR="0020597C">
        <w:rPr>
          <w:rFonts w:ascii="Times New Roman" w:eastAsiaTheme="minorEastAsia" w:hAnsi="Times New Roman" w:cs="Times New Roman"/>
          <w:sz w:val="24"/>
          <w:szCs w:val="24"/>
        </w:rPr>
        <w:t xml:space="preserve">while </w:t>
      </w:r>
      <w:r w:rsidR="006A0E2D">
        <w:rPr>
          <w:rFonts w:ascii="Times New Roman" w:eastAsiaTheme="minorEastAsia" w:hAnsi="Times New Roman" w:cs="Times New Roman"/>
          <w:sz w:val="24"/>
          <w:szCs w:val="24"/>
        </w:rPr>
        <w:t>biomass</w:t>
      </w:r>
      <w:r w:rsidR="0020597C">
        <w:rPr>
          <w:rFonts w:ascii="Times New Roman" w:eastAsiaTheme="minorEastAsia" w:hAnsi="Times New Roman" w:cs="Times New Roman"/>
          <w:sz w:val="24"/>
          <w:szCs w:val="24"/>
        </w:rPr>
        <w:t xml:space="preserve">-per-encounter are elevated in the southern middle and outer domain during these years.  These responses are just a few of the varied impacts occurring across all </w:t>
      </w:r>
      <w:r w:rsidR="006A0E2D">
        <w:rPr>
          <w:rFonts w:ascii="Times New Roman" w:eastAsiaTheme="minorEastAsia" w:hAnsi="Times New Roman" w:cs="Times New Roman"/>
          <w:sz w:val="24"/>
          <w:szCs w:val="24"/>
        </w:rPr>
        <w:t xml:space="preserve">seventeen </w:t>
      </w:r>
      <w:r w:rsidR="0020597C">
        <w:rPr>
          <w:rFonts w:ascii="Times New Roman" w:eastAsiaTheme="minorEastAsia" w:hAnsi="Times New Roman" w:cs="Times New Roman"/>
          <w:sz w:val="24"/>
          <w:szCs w:val="24"/>
        </w:rPr>
        <w:t xml:space="preserve">species analyzed here (Fig. S1).  </w:t>
      </w:r>
    </w:p>
    <w:p w14:paraId="10E052F7" w14:textId="15B0AB35" w:rsidR="00B34CC3" w:rsidRDefault="000B3F98"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4825BA">
        <w:rPr>
          <w:rFonts w:ascii="Times New Roman" w:hAnsi="Times New Roman" w:cs="Times New Roman"/>
          <w:sz w:val="24"/>
          <w:szCs w:val="24"/>
        </w:rPr>
        <w:t>Cold-pool extent explains a portion of variation in log-density for species in the Eastern Bering Sea even when including a quadratic effect of bottom temperature (Fig. 4)</w:t>
      </w:r>
      <w:r w:rsidR="00C158A9">
        <w:rPr>
          <w:rFonts w:ascii="Times New Roman" w:hAnsi="Times New Roman" w:cs="Times New Roman"/>
          <w:sz w:val="24"/>
          <w:szCs w:val="24"/>
        </w:rPr>
        <w:t>,</w:t>
      </w:r>
      <w:r w:rsidR="004825BA">
        <w:rPr>
          <w:rFonts w:ascii="Times New Roman" w:hAnsi="Times New Roman" w:cs="Times New Roman"/>
          <w:sz w:val="24"/>
          <w:szCs w:val="24"/>
        </w:rPr>
        <w:t xml:space="preserve"> although the standard deviation of variation explained by bottom temperature is nearly twice as great on average (</w:t>
      </w:r>
      <w:r w:rsidR="002E6BBA">
        <w:rPr>
          <w:rFonts w:ascii="Times New Roman" w:hAnsi="Times New Roman" w:cs="Times New Roman"/>
          <w:sz w:val="24"/>
          <w:szCs w:val="24"/>
        </w:rPr>
        <w:t>0.37/0.27</w:t>
      </w:r>
      <w:r w:rsidR="00F024C1">
        <w:rPr>
          <w:rFonts w:ascii="Times New Roman" w:hAnsi="Times New Roman" w:cs="Times New Roman"/>
          <w:sz w:val="24"/>
          <w:szCs w:val="24"/>
        </w:rPr>
        <w:t>; Fig. 4 2</w:t>
      </w:r>
      <w:r w:rsidR="00F024C1" w:rsidRPr="00F024C1">
        <w:rPr>
          <w:rFonts w:ascii="Times New Roman" w:hAnsi="Times New Roman" w:cs="Times New Roman"/>
          <w:sz w:val="24"/>
          <w:szCs w:val="24"/>
          <w:vertAlign w:val="superscript"/>
        </w:rPr>
        <w:t>st</w:t>
      </w:r>
      <w:r w:rsidR="00F024C1">
        <w:rPr>
          <w:rFonts w:ascii="Times New Roman" w:hAnsi="Times New Roman" w:cs="Times New Roman"/>
          <w:sz w:val="24"/>
          <w:szCs w:val="24"/>
        </w:rPr>
        <w:t xml:space="preserve"> row</w:t>
      </w:r>
      <w:r w:rsidR="004825BA">
        <w:rPr>
          <w:rFonts w:ascii="Times New Roman" w:hAnsi="Times New Roman" w:cs="Times New Roman"/>
          <w:sz w:val="24"/>
          <w:szCs w:val="24"/>
        </w:rPr>
        <w:t xml:space="preserve">) as the </w:t>
      </w:r>
      <w:r w:rsidR="00D509D9">
        <w:rPr>
          <w:rFonts w:ascii="Times New Roman" w:hAnsi="Times New Roman" w:cs="Times New Roman"/>
          <w:sz w:val="24"/>
          <w:szCs w:val="24"/>
        </w:rPr>
        <w:t>spatially vary</w:t>
      </w:r>
      <w:r w:rsidR="004825BA">
        <w:rPr>
          <w:rFonts w:ascii="Times New Roman" w:hAnsi="Times New Roman" w:cs="Times New Roman"/>
          <w:sz w:val="24"/>
          <w:szCs w:val="24"/>
        </w:rPr>
        <w:t>ing link to the cold-pool (</w:t>
      </w:r>
      <w:r w:rsidR="002E6BBA">
        <w:rPr>
          <w:rFonts w:ascii="Times New Roman" w:hAnsi="Times New Roman" w:cs="Times New Roman"/>
          <w:sz w:val="24"/>
          <w:szCs w:val="24"/>
        </w:rPr>
        <w:t>0.16/0.14</w:t>
      </w:r>
      <w:r w:rsidR="00F024C1">
        <w:rPr>
          <w:rFonts w:ascii="Times New Roman" w:hAnsi="Times New Roman" w:cs="Times New Roman"/>
          <w:sz w:val="24"/>
          <w:szCs w:val="24"/>
        </w:rPr>
        <w:t>; Fig. 4 1</w:t>
      </w:r>
      <w:r w:rsidR="00F024C1" w:rsidRPr="00F024C1">
        <w:rPr>
          <w:rFonts w:ascii="Times New Roman" w:hAnsi="Times New Roman" w:cs="Times New Roman"/>
          <w:sz w:val="24"/>
          <w:szCs w:val="24"/>
          <w:vertAlign w:val="superscript"/>
        </w:rPr>
        <w:t>st</w:t>
      </w:r>
      <w:r w:rsidR="00F024C1">
        <w:rPr>
          <w:rFonts w:ascii="Times New Roman" w:hAnsi="Times New Roman" w:cs="Times New Roman"/>
          <w:sz w:val="24"/>
          <w:szCs w:val="24"/>
        </w:rPr>
        <w:t xml:space="preserve"> row</w:t>
      </w:r>
      <w:r w:rsidR="004825BA">
        <w:rPr>
          <w:rFonts w:ascii="Times New Roman" w:hAnsi="Times New Roman" w:cs="Times New Roman"/>
          <w:sz w:val="24"/>
          <w:szCs w:val="24"/>
        </w:rPr>
        <w:t xml:space="preserve">).  Including both bottom temperature and cold-pool extent explains </w:t>
      </w:r>
      <w:r w:rsidR="00F82261">
        <w:rPr>
          <w:rFonts w:ascii="Times New Roman" w:hAnsi="Times New Roman" w:cs="Times New Roman"/>
          <w:sz w:val="24"/>
          <w:szCs w:val="24"/>
        </w:rPr>
        <w:t>17</w:t>
      </w:r>
      <w:r w:rsidR="004825BA">
        <w:rPr>
          <w:rFonts w:ascii="Times New Roman" w:hAnsi="Times New Roman" w:cs="Times New Roman"/>
          <w:sz w:val="24"/>
          <w:szCs w:val="24"/>
        </w:rPr>
        <w:t>% of the residual spatio-temporal variation for numbers density (</w:t>
      </w:r>
      <w:r w:rsidR="0080260A">
        <w:rPr>
          <w:rFonts w:ascii="Times New Roman" w:eastAsiaTheme="minorEastAsia" w:hAnsi="Times New Roman" w:cs="Times New Roman"/>
          <w:sz w:val="24"/>
          <w:szCs w:val="24"/>
        </w:rPr>
        <w:t>Fig. 4 bottom-left panel</w:t>
      </w:r>
      <w:r w:rsidR="004825BA">
        <w:rPr>
          <w:rFonts w:ascii="Times New Roman" w:eastAsiaTheme="minorEastAsia" w:hAnsi="Times New Roman" w:cs="Times New Roman"/>
          <w:sz w:val="24"/>
          <w:szCs w:val="24"/>
        </w:rPr>
        <w:t xml:space="preserve">) and </w:t>
      </w:r>
      <w:r w:rsidR="00F82261">
        <w:rPr>
          <w:rFonts w:ascii="Times New Roman" w:eastAsiaTheme="minorEastAsia" w:hAnsi="Times New Roman" w:cs="Times New Roman"/>
          <w:sz w:val="24"/>
          <w:szCs w:val="24"/>
        </w:rPr>
        <w:t>19</w:t>
      </w:r>
      <w:r w:rsidR="004825BA">
        <w:rPr>
          <w:rFonts w:ascii="Times New Roman" w:eastAsiaTheme="minorEastAsia" w:hAnsi="Times New Roman" w:cs="Times New Roman"/>
          <w:sz w:val="24"/>
          <w:szCs w:val="24"/>
        </w:rPr>
        <w:t>% of residual spatio-temporal variation for average biomass (</w:t>
      </w:r>
      <w:r w:rsidR="0080260A">
        <w:rPr>
          <w:rFonts w:ascii="Times New Roman" w:eastAsiaTheme="minorEastAsia" w:hAnsi="Times New Roman" w:cs="Times New Roman"/>
          <w:sz w:val="24"/>
          <w:szCs w:val="24"/>
        </w:rPr>
        <w:t>Fig. 4 bottom-right panel</w:t>
      </w:r>
      <w:r w:rsidR="004825BA">
        <w:rPr>
          <w:rFonts w:ascii="Times New Roman" w:eastAsiaTheme="minorEastAsia" w:hAnsi="Times New Roman" w:cs="Times New Roman"/>
          <w:sz w:val="24"/>
          <w:szCs w:val="24"/>
        </w:rPr>
        <w:t xml:space="preserve">).  </w:t>
      </w:r>
      <w:r w:rsidR="00AA7FF2">
        <w:rPr>
          <w:rFonts w:ascii="Times New Roman" w:eastAsiaTheme="minorEastAsia" w:hAnsi="Times New Roman" w:cs="Times New Roman"/>
          <w:sz w:val="24"/>
          <w:szCs w:val="24"/>
        </w:rPr>
        <w:t>Local temperature in isolation explains only 1</w:t>
      </w:r>
      <w:r w:rsidR="00F13378">
        <w:rPr>
          <w:rFonts w:ascii="Times New Roman" w:eastAsiaTheme="minorEastAsia" w:hAnsi="Times New Roman" w:cs="Times New Roman"/>
          <w:sz w:val="24"/>
          <w:szCs w:val="24"/>
        </w:rPr>
        <w:t>2</w:t>
      </w:r>
      <w:r w:rsidR="00AA7FF2">
        <w:rPr>
          <w:rFonts w:ascii="Times New Roman" w:eastAsiaTheme="minorEastAsia" w:hAnsi="Times New Roman" w:cs="Times New Roman"/>
          <w:sz w:val="24"/>
          <w:szCs w:val="24"/>
        </w:rPr>
        <w:t>% and 1</w:t>
      </w:r>
      <w:r w:rsidR="00F13378">
        <w:rPr>
          <w:rFonts w:ascii="Times New Roman" w:eastAsiaTheme="minorEastAsia" w:hAnsi="Times New Roman" w:cs="Times New Roman"/>
          <w:sz w:val="24"/>
          <w:szCs w:val="24"/>
        </w:rPr>
        <w:t>1</w:t>
      </w:r>
      <w:r w:rsidR="00AA7FF2">
        <w:rPr>
          <w:rFonts w:ascii="Times New Roman" w:eastAsiaTheme="minorEastAsia" w:hAnsi="Times New Roman" w:cs="Times New Roman"/>
          <w:sz w:val="24"/>
          <w:szCs w:val="24"/>
        </w:rPr>
        <w:t>% of residual spatio-temporal variation in numbers-density and average biomass, respectively, and b</w:t>
      </w:r>
      <w:r w:rsidR="004825BA">
        <w:rPr>
          <w:rFonts w:ascii="Times New Roman" w:eastAsiaTheme="minorEastAsia" w:hAnsi="Times New Roman" w:cs="Times New Roman"/>
          <w:sz w:val="24"/>
          <w:szCs w:val="24"/>
        </w:rPr>
        <w:t xml:space="preserve">oth cold-pool extent and bottom temperature contribute nearly equally to </w:t>
      </w:r>
      <w:r w:rsidR="00AA7FF2">
        <w:rPr>
          <w:rFonts w:ascii="Times New Roman" w:eastAsiaTheme="minorEastAsia" w:hAnsi="Times New Roman" w:cs="Times New Roman"/>
          <w:sz w:val="24"/>
          <w:szCs w:val="24"/>
        </w:rPr>
        <w:t xml:space="preserve">the overall </w:t>
      </w:r>
      <w:r w:rsidR="004825BA">
        <w:rPr>
          <w:rFonts w:ascii="Times New Roman" w:eastAsiaTheme="minorEastAsia" w:hAnsi="Times New Roman" w:cs="Times New Roman"/>
          <w:sz w:val="24"/>
          <w:szCs w:val="24"/>
        </w:rPr>
        <w:t xml:space="preserve">reduction in variance (i.e., as shown by the similar reduction for “Temp” and “ColdPool” models in bottom row of Fig. 4).    </w:t>
      </w:r>
    </w:p>
    <w:p w14:paraId="62501737" w14:textId="04B3AB40" w:rsidR="004825BA" w:rsidRDefault="004825BA" w:rsidP="00B46FB7">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5E6509">
        <w:rPr>
          <w:rFonts w:ascii="Times New Roman" w:hAnsi="Times New Roman" w:cs="Times New Roman"/>
          <w:sz w:val="24"/>
          <w:szCs w:val="24"/>
        </w:rPr>
        <w:t xml:space="preserve">Relatedly, the Akaike Information Criterion (AIC) indicates that including both local bottom temperature and annual </w:t>
      </w:r>
      <w:r w:rsidR="00A349B6">
        <w:rPr>
          <w:rFonts w:ascii="Times New Roman" w:hAnsi="Times New Roman" w:cs="Times New Roman"/>
          <w:sz w:val="24"/>
          <w:szCs w:val="24"/>
        </w:rPr>
        <w:t xml:space="preserve">cold-pool </w:t>
      </w:r>
      <w:r w:rsidR="005E6509">
        <w:rPr>
          <w:rFonts w:ascii="Times New Roman" w:hAnsi="Times New Roman" w:cs="Times New Roman"/>
          <w:sz w:val="24"/>
          <w:szCs w:val="24"/>
        </w:rPr>
        <w:t xml:space="preserve">extent is parsimonious for </w:t>
      </w:r>
      <w:r w:rsidR="00B52010">
        <w:rPr>
          <w:rFonts w:ascii="Times New Roman" w:hAnsi="Times New Roman" w:cs="Times New Roman"/>
          <w:sz w:val="24"/>
          <w:szCs w:val="24"/>
        </w:rPr>
        <w:t>thirteen</w:t>
      </w:r>
      <w:r w:rsidR="005E6509">
        <w:rPr>
          <w:rFonts w:ascii="Times New Roman" w:hAnsi="Times New Roman" w:cs="Times New Roman"/>
          <w:sz w:val="24"/>
          <w:szCs w:val="24"/>
        </w:rPr>
        <w:t xml:space="preserve"> of </w:t>
      </w:r>
      <w:r w:rsidR="00B52010">
        <w:rPr>
          <w:rFonts w:ascii="Times New Roman" w:hAnsi="Times New Roman" w:cs="Times New Roman"/>
          <w:sz w:val="24"/>
          <w:szCs w:val="24"/>
        </w:rPr>
        <w:t xml:space="preserve">seventeen </w:t>
      </w:r>
      <w:r w:rsidR="005E6509">
        <w:rPr>
          <w:rFonts w:ascii="Times New Roman" w:hAnsi="Times New Roman" w:cs="Times New Roman"/>
          <w:sz w:val="24"/>
          <w:szCs w:val="24"/>
        </w:rPr>
        <w:t>species</w:t>
      </w:r>
      <w:r w:rsidR="00AF3381">
        <w:rPr>
          <w:rFonts w:ascii="Times New Roman" w:hAnsi="Times New Roman" w:cs="Times New Roman"/>
          <w:sz w:val="24"/>
          <w:szCs w:val="24"/>
        </w:rPr>
        <w:t xml:space="preserve"> (Table 1)</w:t>
      </w:r>
      <w:r w:rsidR="005E6509">
        <w:rPr>
          <w:rFonts w:ascii="Times New Roman" w:hAnsi="Times New Roman" w:cs="Times New Roman"/>
          <w:sz w:val="24"/>
          <w:szCs w:val="24"/>
        </w:rPr>
        <w:t xml:space="preserve">, </w:t>
      </w:r>
      <w:r w:rsidR="002E6BBA">
        <w:rPr>
          <w:rFonts w:ascii="Times New Roman" w:hAnsi="Times New Roman" w:cs="Times New Roman"/>
          <w:sz w:val="24"/>
          <w:szCs w:val="24"/>
        </w:rPr>
        <w:t>and selects local temperature or cold-pool extent individually for all remaining species</w:t>
      </w:r>
      <w:r w:rsidR="005E6509">
        <w:rPr>
          <w:rFonts w:ascii="Times New Roman" w:hAnsi="Times New Roman" w:cs="Times New Roman"/>
          <w:sz w:val="24"/>
          <w:szCs w:val="24"/>
        </w:rPr>
        <w:t>.</w:t>
      </w:r>
      <w:r w:rsidR="0055527D">
        <w:rPr>
          <w:rFonts w:ascii="Times New Roman" w:hAnsi="Times New Roman" w:cs="Times New Roman"/>
          <w:sz w:val="24"/>
          <w:szCs w:val="24"/>
        </w:rPr>
        <w:t xml:space="preserve">  </w:t>
      </w:r>
      <w:r w:rsidR="0055527D">
        <w:rPr>
          <w:rFonts w:ascii="Times New Roman" w:hAnsi="Times New Roman" w:cs="Times New Roman"/>
          <w:sz w:val="24"/>
          <w:szCs w:val="24"/>
        </w:rPr>
        <w:lastRenderedPageBreak/>
        <w:t xml:space="preserve">Comparing a model with cold-pool </w:t>
      </w:r>
      <w:r w:rsidR="002E6BBA">
        <w:rPr>
          <w:rFonts w:ascii="Times New Roman" w:hAnsi="Times New Roman" w:cs="Times New Roman"/>
          <w:sz w:val="24"/>
          <w:szCs w:val="24"/>
        </w:rPr>
        <w:t xml:space="preserve">extent </w:t>
      </w:r>
      <w:r w:rsidR="0055527D">
        <w:rPr>
          <w:rFonts w:ascii="Times New Roman" w:hAnsi="Times New Roman" w:cs="Times New Roman"/>
          <w:sz w:val="24"/>
          <w:szCs w:val="24"/>
        </w:rPr>
        <w:t>to the AIC selected model (i.e., comparing “ColdPool” with “</w:t>
      </w:r>
      <w:r w:rsidR="002E6BBA">
        <w:rPr>
          <w:rFonts w:ascii="Times New Roman" w:hAnsi="Times New Roman" w:cs="Times New Roman"/>
          <w:sz w:val="24"/>
          <w:szCs w:val="24"/>
        </w:rPr>
        <w:t>Temp</w:t>
      </w:r>
      <w:r w:rsidR="0055527D">
        <w:rPr>
          <w:rFonts w:ascii="Times New Roman" w:hAnsi="Times New Roman" w:cs="Times New Roman"/>
          <w:sz w:val="24"/>
          <w:szCs w:val="24"/>
        </w:rPr>
        <w:t xml:space="preserve">” for </w:t>
      </w:r>
      <w:r w:rsidR="002E6BBA">
        <w:rPr>
          <w:rFonts w:ascii="Times New Roman" w:hAnsi="Times New Roman" w:cs="Times New Roman"/>
          <w:i/>
          <w:sz w:val="24"/>
          <w:szCs w:val="24"/>
        </w:rPr>
        <w:t>Limanda aspera, Hyas lyratus, or Lycodes brevipes</w:t>
      </w:r>
      <w:r w:rsidR="0055527D">
        <w:rPr>
          <w:rFonts w:ascii="Times New Roman" w:hAnsi="Times New Roman" w:cs="Times New Roman"/>
          <w:sz w:val="24"/>
          <w:szCs w:val="24"/>
        </w:rPr>
        <w:t>) shows that including the cold-pool degrades model parsimony very little even when it</w:t>
      </w:r>
      <w:r w:rsidR="002529C0">
        <w:rPr>
          <w:rFonts w:ascii="Times New Roman" w:hAnsi="Times New Roman" w:cs="Times New Roman"/>
          <w:sz w:val="24"/>
          <w:szCs w:val="24"/>
        </w:rPr>
        <w:t>’</w:t>
      </w:r>
      <w:r w:rsidR="0055527D">
        <w:rPr>
          <w:rFonts w:ascii="Times New Roman" w:hAnsi="Times New Roman" w:cs="Times New Roman"/>
          <w:sz w:val="24"/>
          <w:szCs w:val="24"/>
        </w:rPr>
        <w:t xml:space="preserve">s not selected, and exploration shows that the estimate of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oMath>
      <w:r w:rsidR="0055527D">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ξ2</m:t>
            </m:r>
          </m:sub>
        </m:sSub>
      </m:oMath>
      <w:r w:rsidR="0055527D">
        <w:rPr>
          <w:rFonts w:ascii="Times New Roman" w:eastAsiaTheme="minorEastAsia" w:hAnsi="Times New Roman" w:cs="Times New Roman"/>
          <w:sz w:val="24"/>
          <w:szCs w:val="24"/>
        </w:rPr>
        <w:t xml:space="preserve"> is approaching zero in these instances.  </w:t>
      </w:r>
    </w:p>
    <w:p w14:paraId="42C2C4FC" w14:textId="00959B53" w:rsidR="00E4648F" w:rsidRPr="00E36A95" w:rsidRDefault="00E4648F"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examining forecasts of northward center-of-gravity when fitting to biomass-sampling data for 1982-2015 and forecasting distribution shifts in 2015-2018 (Fig. 5) </w:t>
      </w:r>
      <w:r w:rsidR="00257889">
        <w:rPr>
          <w:rFonts w:ascii="Times New Roman" w:hAnsi="Times New Roman" w:cs="Times New Roman"/>
          <w:sz w:val="24"/>
          <w:szCs w:val="24"/>
        </w:rPr>
        <w:t xml:space="preserve">shows instances where </w:t>
      </w:r>
      <w:r w:rsidR="005F2338">
        <w:rPr>
          <w:rFonts w:ascii="Times New Roman" w:hAnsi="Times New Roman" w:cs="Times New Roman"/>
          <w:sz w:val="24"/>
          <w:szCs w:val="24"/>
        </w:rPr>
        <w:t xml:space="preserve">incorporating temperature and cold-pool extent improves forecasts of distribution shift from 2015-2017.  For example, </w:t>
      </w:r>
      <w:r w:rsidR="005F2338">
        <w:rPr>
          <w:rFonts w:ascii="Times New Roman" w:hAnsi="Times New Roman" w:cs="Times New Roman"/>
          <w:i/>
          <w:sz w:val="24"/>
          <w:szCs w:val="24"/>
        </w:rPr>
        <w:t>Lycodes palearis</w:t>
      </w:r>
      <w:r w:rsidR="005F2338">
        <w:rPr>
          <w:rFonts w:ascii="Times New Roman" w:hAnsi="Times New Roman" w:cs="Times New Roman"/>
          <w:sz w:val="24"/>
          <w:szCs w:val="24"/>
        </w:rPr>
        <w:t xml:space="preserve"> shows a southward shift in 2015 followed by a rapid shift 100 km north 2016-2017.  This northward shift is forecasted by all models because the species has a more southward distribution than its long-term average and the autocorrelation in spatio-temporal variation causes it to revert to its long-term average in all models.  However, models including local temperature forecast a substantial northward shift 2015-2016, in accordance with </w:t>
      </w:r>
      <w:r w:rsidR="00E36A95">
        <w:rPr>
          <w:rFonts w:ascii="Times New Roman" w:hAnsi="Times New Roman" w:cs="Times New Roman"/>
          <w:sz w:val="24"/>
          <w:szCs w:val="24"/>
        </w:rPr>
        <w:t xml:space="preserve">subsequent measurements.  Local temperature is similarly helpful in forecasting the northward shift for </w:t>
      </w:r>
      <w:r w:rsidR="00E36A95">
        <w:rPr>
          <w:rFonts w:ascii="Times New Roman" w:hAnsi="Times New Roman" w:cs="Times New Roman"/>
          <w:i/>
          <w:sz w:val="24"/>
          <w:szCs w:val="24"/>
        </w:rPr>
        <w:t>Mallotus villosus</w:t>
      </w:r>
      <w:r w:rsidR="00E36A95">
        <w:rPr>
          <w:rFonts w:ascii="Times New Roman" w:hAnsi="Times New Roman" w:cs="Times New Roman"/>
          <w:sz w:val="24"/>
          <w:szCs w:val="24"/>
        </w:rPr>
        <w:t xml:space="preserve">, </w:t>
      </w:r>
      <w:r w:rsidR="00E36A95">
        <w:rPr>
          <w:rFonts w:ascii="Times New Roman" w:hAnsi="Times New Roman" w:cs="Times New Roman"/>
          <w:i/>
          <w:sz w:val="24"/>
          <w:szCs w:val="24"/>
        </w:rPr>
        <w:t>Hippoglosus stenolepsis</w:t>
      </w:r>
      <w:r w:rsidR="00E36A95">
        <w:rPr>
          <w:rFonts w:ascii="Times New Roman" w:hAnsi="Times New Roman" w:cs="Times New Roman"/>
          <w:sz w:val="24"/>
          <w:szCs w:val="24"/>
        </w:rPr>
        <w:t xml:space="preserve"> and </w:t>
      </w:r>
      <w:r w:rsidR="00E36A95">
        <w:rPr>
          <w:rFonts w:ascii="Times New Roman" w:hAnsi="Times New Roman" w:cs="Times New Roman"/>
          <w:i/>
          <w:sz w:val="24"/>
          <w:szCs w:val="24"/>
        </w:rPr>
        <w:t xml:space="preserve">Hyas coarctatus </w:t>
      </w:r>
      <w:r w:rsidR="00E36A95">
        <w:rPr>
          <w:rFonts w:ascii="Times New Roman" w:hAnsi="Times New Roman" w:cs="Times New Roman"/>
          <w:sz w:val="24"/>
          <w:szCs w:val="24"/>
        </w:rPr>
        <w:t>in 2016.</w:t>
      </w:r>
      <w:r w:rsidR="00663A24">
        <w:rPr>
          <w:rFonts w:ascii="Times New Roman" w:hAnsi="Times New Roman" w:cs="Times New Roman"/>
          <w:sz w:val="24"/>
          <w:szCs w:val="24"/>
        </w:rPr>
        <w:t xml:space="preserve">  </w:t>
      </w:r>
      <w:r w:rsidR="00D00884">
        <w:rPr>
          <w:rFonts w:ascii="Times New Roman" w:hAnsi="Times New Roman" w:cs="Times New Roman"/>
          <w:sz w:val="24"/>
          <w:szCs w:val="24"/>
        </w:rPr>
        <w:t xml:space="preserve">Meanwhile, cold-pool extent is helpful in improving forecasts of northward distribution in </w:t>
      </w:r>
      <w:r w:rsidR="00466703">
        <w:rPr>
          <w:rFonts w:ascii="Times New Roman" w:hAnsi="Times New Roman" w:cs="Times New Roman"/>
          <w:sz w:val="24"/>
          <w:szCs w:val="24"/>
        </w:rPr>
        <w:t>2015-</w:t>
      </w:r>
      <w:r w:rsidR="00D00884">
        <w:rPr>
          <w:rFonts w:ascii="Times New Roman" w:hAnsi="Times New Roman" w:cs="Times New Roman"/>
          <w:sz w:val="24"/>
          <w:szCs w:val="24"/>
        </w:rPr>
        <w:t xml:space="preserve">2016 for </w:t>
      </w:r>
      <w:r w:rsidR="00466703">
        <w:rPr>
          <w:rFonts w:ascii="Times New Roman" w:hAnsi="Times New Roman" w:cs="Times New Roman"/>
          <w:i/>
          <w:sz w:val="24"/>
          <w:szCs w:val="24"/>
        </w:rPr>
        <w:t>Gadus macrocephalus</w:t>
      </w:r>
      <w:r w:rsidR="00466703">
        <w:rPr>
          <w:rFonts w:ascii="Times New Roman" w:hAnsi="Times New Roman" w:cs="Times New Roman"/>
          <w:sz w:val="24"/>
          <w:szCs w:val="24"/>
        </w:rPr>
        <w:t xml:space="preserve"> relative to models with only local temperature effects. </w:t>
      </w:r>
      <w:r w:rsidR="00466703">
        <w:rPr>
          <w:rFonts w:ascii="Times New Roman" w:hAnsi="Times New Roman" w:cs="Times New Roman"/>
          <w:i/>
          <w:sz w:val="24"/>
          <w:szCs w:val="24"/>
        </w:rPr>
        <w:t xml:space="preserve"> </w:t>
      </w:r>
      <w:r w:rsidR="00663A24">
        <w:rPr>
          <w:rFonts w:ascii="Times New Roman" w:hAnsi="Times New Roman" w:cs="Times New Roman"/>
          <w:sz w:val="24"/>
          <w:szCs w:val="24"/>
        </w:rPr>
        <w:t xml:space="preserve">Comparing the error in forecasted center-of-gravity among models (Fig. 6) shows that including temperature and cold-pool extent decreases the median absolute error by </w:t>
      </w:r>
      <w:r w:rsidR="00787985">
        <w:rPr>
          <w:rFonts w:ascii="Times New Roman" w:hAnsi="Times New Roman" w:cs="Times New Roman"/>
          <w:sz w:val="24"/>
          <w:szCs w:val="24"/>
        </w:rPr>
        <w:t>25%</w:t>
      </w:r>
      <w:r w:rsidR="00663A24">
        <w:rPr>
          <w:rFonts w:ascii="Times New Roman" w:hAnsi="Times New Roman" w:cs="Times New Roman"/>
          <w:sz w:val="24"/>
          <w:szCs w:val="24"/>
        </w:rPr>
        <w:t xml:space="preserve"> (from 15</w:t>
      </w:r>
      <w:r w:rsidR="00787985">
        <w:rPr>
          <w:rFonts w:ascii="Times New Roman" w:hAnsi="Times New Roman" w:cs="Times New Roman"/>
          <w:sz w:val="24"/>
          <w:szCs w:val="24"/>
        </w:rPr>
        <w:t>.7</w:t>
      </w:r>
      <w:r w:rsidR="00663A24">
        <w:rPr>
          <w:rFonts w:ascii="Times New Roman" w:hAnsi="Times New Roman" w:cs="Times New Roman"/>
          <w:sz w:val="24"/>
          <w:szCs w:val="24"/>
        </w:rPr>
        <w:t xml:space="preserve"> </w:t>
      </w:r>
      <w:r w:rsidR="00787985">
        <w:rPr>
          <w:rFonts w:ascii="Times New Roman" w:hAnsi="Times New Roman" w:cs="Times New Roman"/>
          <w:sz w:val="24"/>
          <w:szCs w:val="24"/>
        </w:rPr>
        <w:t>to</w:t>
      </w:r>
      <w:r w:rsidR="00663A24">
        <w:rPr>
          <w:rFonts w:ascii="Times New Roman" w:hAnsi="Times New Roman" w:cs="Times New Roman"/>
          <w:sz w:val="24"/>
          <w:szCs w:val="24"/>
        </w:rPr>
        <w:t xml:space="preserve"> 1</w:t>
      </w:r>
      <w:r w:rsidR="00787985">
        <w:rPr>
          <w:rFonts w:ascii="Times New Roman" w:hAnsi="Times New Roman" w:cs="Times New Roman"/>
          <w:sz w:val="24"/>
          <w:szCs w:val="24"/>
        </w:rPr>
        <w:t>1.8</w:t>
      </w:r>
      <w:r w:rsidR="00663A24">
        <w:rPr>
          <w:rFonts w:ascii="Times New Roman" w:hAnsi="Times New Roman" w:cs="Times New Roman"/>
          <w:sz w:val="24"/>
          <w:szCs w:val="24"/>
        </w:rPr>
        <w:t xml:space="preserve"> km) for one-year forecasts, 3</w:t>
      </w:r>
      <w:r w:rsidR="00787985">
        <w:rPr>
          <w:rFonts w:ascii="Times New Roman" w:hAnsi="Times New Roman" w:cs="Times New Roman"/>
          <w:sz w:val="24"/>
          <w:szCs w:val="24"/>
        </w:rPr>
        <w:t>7</w:t>
      </w:r>
      <w:r w:rsidR="00663A24">
        <w:rPr>
          <w:rFonts w:ascii="Times New Roman" w:hAnsi="Times New Roman" w:cs="Times New Roman"/>
          <w:sz w:val="24"/>
          <w:szCs w:val="24"/>
        </w:rPr>
        <w:t xml:space="preserve">% for two-year forecasts (from </w:t>
      </w:r>
      <w:r w:rsidR="00787985">
        <w:rPr>
          <w:rFonts w:ascii="Times New Roman" w:hAnsi="Times New Roman" w:cs="Times New Roman"/>
          <w:sz w:val="24"/>
          <w:szCs w:val="24"/>
        </w:rPr>
        <w:t>30.5</w:t>
      </w:r>
      <w:r w:rsidR="00663A24">
        <w:rPr>
          <w:rFonts w:ascii="Times New Roman" w:hAnsi="Times New Roman" w:cs="Times New Roman"/>
          <w:sz w:val="24"/>
          <w:szCs w:val="24"/>
        </w:rPr>
        <w:t xml:space="preserve"> to </w:t>
      </w:r>
      <w:r w:rsidR="00787985">
        <w:rPr>
          <w:rFonts w:ascii="Times New Roman" w:hAnsi="Times New Roman" w:cs="Times New Roman"/>
          <w:sz w:val="24"/>
          <w:szCs w:val="24"/>
        </w:rPr>
        <w:t>19.3</w:t>
      </w:r>
      <w:r w:rsidR="00663A24">
        <w:rPr>
          <w:rFonts w:ascii="Times New Roman" w:hAnsi="Times New Roman" w:cs="Times New Roman"/>
          <w:sz w:val="24"/>
          <w:szCs w:val="24"/>
        </w:rPr>
        <w:t xml:space="preserve"> km) and </w:t>
      </w:r>
      <w:r w:rsidR="00787985">
        <w:rPr>
          <w:rFonts w:ascii="Times New Roman" w:hAnsi="Times New Roman" w:cs="Times New Roman"/>
          <w:sz w:val="24"/>
          <w:szCs w:val="24"/>
        </w:rPr>
        <w:t>5</w:t>
      </w:r>
      <w:r w:rsidR="00663A24">
        <w:rPr>
          <w:rFonts w:ascii="Times New Roman" w:hAnsi="Times New Roman" w:cs="Times New Roman"/>
          <w:sz w:val="24"/>
          <w:szCs w:val="24"/>
        </w:rPr>
        <w:t>% for three-year forecasts (from 35.</w:t>
      </w:r>
      <w:r w:rsidR="00787985">
        <w:rPr>
          <w:rFonts w:ascii="Times New Roman" w:hAnsi="Times New Roman" w:cs="Times New Roman"/>
          <w:sz w:val="24"/>
          <w:szCs w:val="24"/>
        </w:rPr>
        <w:t>6</w:t>
      </w:r>
      <w:r w:rsidR="00663A24">
        <w:rPr>
          <w:rFonts w:ascii="Times New Roman" w:hAnsi="Times New Roman" w:cs="Times New Roman"/>
          <w:sz w:val="24"/>
          <w:szCs w:val="24"/>
        </w:rPr>
        <w:t xml:space="preserve"> to 3</w:t>
      </w:r>
      <w:r w:rsidR="00787985">
        <w:rPr>
          <w:rFonts w:ascii="Times New Roman" w:hAnsi="Times New Roman" w:cs="Times New Roman"/>
          <w:sz w:val="24"/>
          <w:szCs w:val="24"/>
        </w:rPr>
        <w:t>3</w:t>
      </w:r>
      <w:r w:rsidR="00663A24">
        <w:rPr>
          <w:rFonts w:ascii="Times New Roman" w:hAnsi="Times New Roman" w:cs="Times New Roman"/>
          <w:sz w:val="24"/>
          <w:szCs w:val="24"/>
        </w:rPr>
        <w:t xml:space="preserve">.9 km) relative to a model with neither covariate, </w:t>
      </w:r>
      <w:r w:rsidR="00787985">
        <w:rPr>
          <w:rFonts w:ascii="Times New Roman" w:hAnsi="Times New Roman" w:cs="Times New Roman"/>
          <w:sz w:val="24"/>
          <w:szCs w:val="24"/>
        </w:rPr>
        <w:t xml:space="preserve">and similarly decreases bias in forecasts for each year.  The </w:t>
      </w:r>
      <w:r w:rsidR="00663A24">
        <w:rPr>
          <w:rFonts w:ascii="Times New Roman" w:hAnsi="Times New Roman" w:cs="Times New Roman"/>
          <w:sz w:val="24"/>
          <w:szCs w:val="24"/>
        </w:rPr>
        <w:t>model without covariates itself has similar or lower errors than the persistence forecast</w:t>
      </w:r>
      <w:r w:rsidR="00787985">
        <w:rPr>
          <w:rFonts w:ascii="Times New Roman" w:hAnsi="Times New Roman" w:cs="Times New Roman"/>
          <w:sz w:val="24"/>
          <w:szCs w:val="24"/>
        </w:rPr>
        <w:t>, due to its inclusion of density dependence as represented by the autoregressive structure on density hotspots</w:t>
      </w:r>
      <w:r w:rsidR="00663A24">
        <w:rPr>
          <w:rFonts w:ascii="Times New Roman" w:hAnsi="Times New Roman" w:cs="Times New Roman"/>
          <w:sz w:val="24"/>
          <w:szCs w:val="24"/>
        </w:rPr>
        <w:t xml:space="preserve">.  </w:t>
      </w:r>
    </w:p>
    <w:p w14:paraId="74F5F1DB" w14:textId="0C5E637D" w:rsidR="00065226" w:rsidRPr="001A4086" w:rsidRDefault="00B34CC3" w:rsidP="00B46FB7">
      <w:pPr>
        <w:tabs>
          <w:tab w:val="left" w:pos="360"/>
        </w:tabs>
        <w:spacing w:after="0" w:line="480" w:lineRule="auto"/>
        <w:rPr>
          <w:rFonts w:ascii="Times New Roman" w:hAnsi="Times New Roman" w:cs="Times New Roman"/>
          <w:b/>
          <w:sz w:val="28"/>
          <w:szCs w:val="28"/>
        </w:rPr>
      </w:pPr>
      <w:r w:rsidRPr="001A4086">
        <w:rPr>
          <w:rFonts w:ascii="Times New Roman" w:hAnsi="Times New Roman" w:cs="Times New Roman"/>
          <w:b/>
          <w:sz w:val="28"/>
          <w:szCs w:val="28"/>
        </w:rPr>
        <w:lastRenderedPageBreak/>
        <w:t>Discussion</w:t>
      </w:r>
    </w:p>
    <w:p w14:paraId="6D80D301" w14:textId="77777777" w:rsidR="007B1E2D" w:rsidRDefault="0059040F"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this study, </w:t>
      </w:r>
      <w:r w:rsidR="00212101">
        <w:rPr>
          <w:rFonts w:ascii="Times New Roman" w:hAnsi="Times New Roman" w:cs="Times New Roman"/>
          <w:sz w:val="24"/>
          <w:szCs w:val="24"/>
        </w:rPr>
        <w:t xml:space="preserve">I </w:t>
      </w:r>
      <w:r>
        <w:rPr>
          <w:rFonts w:ascii="Times New Roman" w:hAnsi="Times New Roman" w:cs="Times New Roman"/>
          <w:sz w:val="24"/>
          <w:szCs w:val="24"/>
        </w:rPr>
        <w:t xml:space="preserve">have shown that </w:t>
      </w:r>
      <w:r w:rsidR="00D509D9">
        <w:rPr>
          <w:rFonts w:ascii="Times New Roman" w:hAnsi="Times New Roman" w:cs="Times New Roman"/>
          <w:sz w:val="24"/>
          <w:szCs w:val="24"/>
        </w:rPr>
        <w:t>spatially vary</w:t>
      </w:r>
      <w:r>
        <w:rPr>
          <w:rFonts w:ascii="Times New Roman" w:hAnsi="Times New Roman" w:cs="Times New Roman"/>
          <w:sz w:val="24"/>
          <w:szCs w:val="24"/>
        </w:rPr>
        <w:t xml:space="preserve">ing coefficient models can be used to predict and forecast changes in spatial distribution using annual oceanographic indices.  Using data for </w:t>
      </w:r>
      <w:r w:rsidR="00B73FB7">
        <w:rPr>
          <w:rFonts w:ascii="Times New Roman" w:hAnsi="Times New Roman" w:cs="Times New Roman"/>
          <w:sz w:val="24"/>
          <w:szCs w:val="24"/>
        </w:rPr>
        <w:t>seventeen</w:t>
      </w:r>
      <w:r>
        <w:rPr>
          <w:rFonts w:ascii="Times New Roman" w:hAnsi="Times New Roman" w:cs="Times New Roman"/>
          <w:sz w:val="24"/>
          <w:szCs w:val="24"/>
        </w:rPr>
        <w:t xml:space="preserve"> </w:t>
      </w:r>
      <w:r w:rsidR="00B73FB7">
        <w:rPr>
          <w:rFonts w:ascii="Times New Roman" w:hAnsi="Times New Roman" w:cs="Times New Roman"/>
          <w:sz w:val="24"/>
          <w:szCs w:val="24"/>
        </w:rPr>
        <w:t xml:space="preserve">bottom-associated </w:t>
      </w:r>
      <w:r>
        <w:rPr>
          <w:rFonts w:ascii="Times New Roman" w:hAnsi="Times New Roman" w:cs="Times New Roman"/>
          <w:sz w:val="24"/>
          <w:szCs w:val="24"/>
        </w:rPr>
        <w:t xml:space="preserve">fish and crab species in the Eastern Bering Sea, </w:t>
      </w:r>
      <w:r w:rsidR="00212101">
        <w:rPr>
          <w:rFonts w:ascii="Times New Roman" w:hAnsi="Times New Roman" w:cs="Times New Roman"/>
          <w:sz w:val="24"/>
          <w:szCs w:val="24"/>
        </w:rPr>
        <w:t xml:space="preserve">I </w:t>
      </w:r>
      <w:r>
        <w:rPr>
          <w:rFonts w:ascii="Times New Roman" w:hAnsi="Times New Roman" w:cs="Times New Roman"/>
          <w:sz w:val="24"/>
          <w:szCs w:val="24"/>
        </w:rPr>
        <w:t>have shown that a dome-shaped response to local bottom temperature explains 1</w:t>
      </w:r>
      <w:r w:rsidR="00F82261">
        <w:rPr>
          <w:rFonts w:ascii="Times New Roman" w:hAnsi="Times New Roman" w:cs="Times New Roman"/>
          <w:sz w:val="24"/>
          <w:szCs w:val="24"/>
        </w:rPr>
        <w:t>1-12</w:t>
      </w:r>
      <w:r>
        <w:rPr>
          <w:rFonts w:ascii="Times New Roman" w:hAnsi="Times New Roman" w:cs="Times New Roman"/>
          <w:sz w:val="24"/>
          <w:szCs w:val="24"/>
        </w:rPr>
        <w:t xml:space="preserve">% of spatio-temporal variation in two predictors of density, while local temperature and the additional, </w:t>
      </w:r>
      <w:r w:rsidR="00D509D9">
        <w:rPr>
          <w:rFonts w:ascii="Times New Roman" w:hAnsi="Times New Roman" w:cs="Times New Roman"/>
          <w:sz w:val="24"/>
          <w:szCs w:val="24"/>
        </w:rPr>
        <w:t>spatially vary</w:t>
      </w:r>
      <w:r>
        <w:rPr>
          <w:rFonts w:ascii="Times New Roman" w:hAnsi="Times New Roman" w:cs="Times New Roman"/>
          <w:sz w:val="24"/>
          <w:szCs w:val="24"/>
        </w:rPr>
        <w:t xml:space="preserve">ing impact of cold-pool extent explains </w:t>
      </w:r>
      <w:r w:rsidR="00F82261">
        <w:rPr>
          <w:rFonts w:ascii="Times New Roman" w:hAnsi="Times New Roman" w:cs="Times New Roman"/>
          <w:sz w:val="24"/>
          <w:szCs w:val="24"/>
        </w:rPr>
        <w:t>17-19</w:t>
      </w:r>
      <w:r>
        <w:rPr>
          <w:rFonts w:ascii="Times New Roman" w:hAnsi="Times New Roman" w:cs="Times New Roman"/>
          <w:sz w:val="24"/>
          <w:szCs w:val="24"/>
        </w:rPr>
        <w:t>% of variation in th</w:t>
      </w:r>
      <w:r w:rsidR="00D64EA0">
        <w:rPr>
          <w:rFonts w:ascii="Times New Roman" w:hAnsi="Times New Roman" w:cs="Times New Roman"/>
          <w:sz w:val="24"/>
          <w:szCs w:val="24"/>
        </w:rPr>
        <w:t>e</w:t>
      </w:r>
      <w:r>
        <w:rPr>
          <w:rFonts w:ascii="Times New Roman" w:hAnsi="Times New Roman" w:cs="Times New Roman"/>
          <w:sz w:val="24"/>
          <w:szCs w:val="24"/>
        </w:rPr>
        <w:t>s</w:t>
      </w:r>
      <w:r w:rsidR="00D64EA0">
        <w:rPr>
          <w:rFonts w:ascii="Times New Roman" w:hAnsi="Times New Roman" w:cs="Times New Roman"/>
          <w:sz w:val="24"/>
          <w:szCs w:val="24"/>
        </w:rPr>
        <w:t>e</w:t>
      </w:r>
      <w:r>
        <w:rPr>
          <w:rFonts w:ascii="Times New Roman" w:hAnsi="Times New Roman" w:cs="Times New Roman"/>
          <w:sz w:val="24"/>
          <w:szCs w:val="24"/>
        </w:rPr>
        <w:t xml:space="preserve"> two predictors.  In addition, both local temperature and cold-pool effects are </w:t>
      </w:r>
      <w:r w:rsidR="00D64EA0">
        <w:rPr>
          <w:rFonts w:ascii="Times New Roman" w:hAnsi="Times New Roman" w:cs="Times New Roman"/>
          <w:sz w:val="24"/>
          <w:szCs w:val="24"/>
        </w:rPr>
        <w:t>identified as</w:t>
      </w:r>
      <w:r>
        <w:rPr>
          <w:rFonts w:ascii="Times New Roman" w:hAnsi="Times New Roman" w:cs="Times New Roman"/>
          <w:sz w:val="24"/>
          <w:szCs w:val="24"/>
        </w:rPr>
        <w:t xml:space="preserve"> parsimonious by </w:t>
      </w:r>
      <w:r w:rsidR="00D64EA0">
        <w:rPr>
          <w:rFonts w:ascii="Times New Roman" w:hAnsi="Times New Roman" w:cs="Times New Roman"/>
          <w:sz w:val="24"/>
          <w:szCs w:val="24"/>
        </w:rPr>
        <w:t xml:space="preserve">AIC for </w:t>
      </w:r>
      <w:r w:rsidR="00A95419">
        <w:rPr>
          <w:rFonts w:ascii="Times New Roman" w:hAnsi="Times New Roman" w:cs="Times New Roman"/>
          <w:sz w:val="24"/>
          <w:szCs w:val="24"/>
        </w:rPr>
        <w:t>thirteen</w:t>
      </w:r>
      <w:r w:rsidR="00D64EA0">
        <w:rPr>
          <w:rFonts w:ascii="Times New Roman" w:hAnsi="Times New Roman" w:cs="Times New Roman"/>
          <w:sz w:val="24"/>
          <w:szCs w:val="24"/>
        </w:rPr>
        <w:t xml:space="preserve"> of the </w:t>
      </w:r>
      <w:r w:rsidR="00A95419">
        <w:rPr>
          <w:rFonts w:ascii="Times New Roman" w:hAnsi="Times New Roman" w:cs="Times New Roman"/>
          <w:sz w:val="24"/>
          <w:szCs w:val="24"/>
        </w:rPr>
        <w:t xml:space="preserve">seventeen </w:t>
      </w:r>
      <w:r w:rsidR="00D64EA0">
        <w:rPr>
          <w:rFonts w:ascii="Times New Roman" w:hAnsi="Times New Roman" w:cs="Times New Roman"/>
          <w:sz w:val="24"/>
          <w:szCs w:val="24"/>
        </w:rPr>
        <w:t>species, and including both effects generally improve</w:t>
      </w:r>
      <w:r w:rsidR="00C02540">
        <w:rPr>
          <w:rFonts w:ascii="Times New Roman" w:hAnsi="Times New Roman" w:cs="Times New Roman"/>
          <w:sz w:val="24"/>
          <w:szCs w:val="24"/>
        </w:rPr>
        <w:t>s</w:t>
      </w:r>
      <w:r w:rsidR="00D64EA0">
        <w:rPr>
          <w:rFonts w:ascii="Times New Roman" w:hAnsi="Times New Roman" w:cs="Times New Roman"/>
          <w:sz w:val="24"/>
          <w:szCs w:val="24"/>
        </w:rPr>
        <w:t xml:space="preserve"> 1-, 2-, or 3-year forecasts of distribution over a model without covariates or a persistence forecast.  </w:t>
      </w:r>
      <w:r w:rsidR="00B73FB7">
        <w:rPr>
          <w:rFonts w:ascii="Times New Roman" w:hAnsi="Times New Roman" w:cs="Times New Roman"/>
          <w:sz w:val="24"/>
          <w:szCs w:val="24"/>
        </w:rPr>
        <w:t xml:space="preserve">I </w:t>
      </w:r>
      <w:r w:rsidR="00D64EA0">
        <w:rPr>
          <w:rFonts w:ascii="Times New Roman" w:hAnsi="Times New Roman" w:cs="Times New Roman"/>
          <w:sz w:val="24"/>
          <w:szCs w:val="24"/>
        </w:rPr>
        <w:t xml:space="preserve">therefore conclude that </w:t>
      </w:r>
      <w:r w:rsidR="00D509D9">
        <w:rPr>
          <w:rFonts w:ascii="Times New Roman" w:hAnsi="Times New Roman" w:cs="Times New Roman"/>
          <w:sz w:val="24"/>
          <w:szCs w:val="24"/>
        </w:rPr>
        <w:t>spatially vary</w:t>
      </w:r>
      <w:r w:rsidR="00D64EA0">
        <w:rPr>
          <w:rFonts w:ascii="Times New Roman" w:hAnsi="Times New Roman" w:cs="Times New Roman"/>
          <w:sz w:val="24"/>
          <w:szCs w:val="24"/>
        </w:rPr>
        <w:t xml:space="preserve">ing coefficients are a useful tool in the toolbox of methods available for explaining and forecasting distribution within species distribution models, and are particularly valuable as a way to integrate regional oceanographic indicators.  </w:t>
      </w:r>
    </w:p>
    <w:p w14:paraId="596483AB" w14:textId="1406B216" w:rsidR="0007055D" w:rsidRDefault="00062877"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104677">
        <w:rPr>
          <w:rFonts w:ascii="Times New Roman" w:hAnsi="Times New Roman" w:cs="Times New Roman"/>
          <w:sz w:val="24"/>
          <w:szCs w:val="24"/>
        </w:rPr>
        <w:t>Given the benefit of including spatially</w:t>
      </w:r>
      <w:r w:rsidR="00AD696A">
        <w:rPr>
          <w:rFonts w:ascii="Times New Roman" w:hAnsi="Times New Roman" w:cs="Times New Roman"/>
          <w:sz w:val="24"/>
          <w:szCs w:val="24"/>
        </w:rPr>
        <w:t xml:space="preserve"> </w:t>
      </w:r>
      <w:r w:rsidR="00104677">
        <w:rPr>
          <w:rFonts w:ascii="Times New Roman" w:hAnsi="Times New Roman" w:cs="Times New Roman"/>
          <w:sz w:val="24"/>
          <w:szCs w:val="24"/>
        </w:rPr>
        <w:t xml:space="preserve">varying effects of oceanographic indices, </w:t>
      </w:r>
      <w:r w:rsidR="00212101">
        <w:rPr>
          <w:rFonts w:ascii="Times New Roman" w:hAnsi="Times New Roman" w:cs="Times New Roman"/>
          <w:sz w:val="24"/>
          <w:szCs w:val="24"/>
        </w:rPr>
        <w:t xml:space="preserve">I </w:t>
      </w:r>
      <w:r w:rsidR="00E45365">
        <w:rPr>
          <w:rFonts w:ascii="Times New Roman" w:hAnsi="Times New Roman" w:cs="Times New Roman"/>
          <w:sz w:val="24"/>
          <w:szCs w:val="24"/>
        </w:rPr>
        <w:t xml:space="preserve">also highlight </w:t>
      </w:r>
      <w:r w:rsidR="0007055D">
        <w:rPr>
          <w:rFonts w:ascii="Times New Roman" w:hAnsi="Times New Roman" w:cs="Times New Roman"/>
          <w:sz w:val="24"/>
          <w:szCs w:val="24"/>
        </w:rPr>
        <w:t>two</w:t>
      </w:r>
      <w:r w:rsidR="00E45365">
        <w:rPr>
          <w:rFonts w:ascii="Times New Roman" w:hAnsi="Times New Roman" w:cs="Times New Roman"/>
          <w:sz w:val="24"/>
          <w:szCs w:val="24"/>
        </w:rPr>
        <w:t xml:space="preserve"> paradox</w:t>
      </w:r>
      <w:r w:rsidR="0007055D">
        <w:rPr>
          <w:rFonts w:ascii="Times New Roman" w:hAnsi="Times New Roman" w:cs="Times New Roman"/>
          <w:sz w:val="24"/>
          <w:szCs w:val="24"/>
        </w:rPr>
        <w:t>es</w:t>
      </w:r>
      <w:r w:rsidR="00E45365">
        <w:rPr>
          <w:rFonts w:ascii="Times New Roman" w:hAnsi="Times New Roman" w:cs="Times New Roman"/>
          <w:sz w:val="24"/>
          <w:szCs w:val="24"/>
        </w:rPr>
        <w:t xml:space="preserve"> of our results.  Specifically, cold-pool area is calculated from local measurements of bottom temperature and represents a highly compressed representation which “loses” information about annual differences in the spatial distribution of cold habitats.  However, our analysis shows that cold-pool area contains additional information about species distribution beyond the information contained in local temperatures.  </w:t>
      </w:r>
      <w:r w:rsidR="0007055D">
        <w:rPr>
          <w:rFonts w:ascii="Times New Roman" w:hAnsi="Times New Roman" w:cs="Times New Roman"/>
          <w:sz w:val="24"/>
          <w:szCs w:val="24"/>
        </w:rPr>
        <w:t>How do fishes “know” about temperatures occurring in habitats outside the area being sampled?  And h</w:t>
      </w:r>
      <w:r w:rsidR="00E27B05">
        <w:rPr>
          <w:rFonts w:ascii="Times New Roman" w:hAnsi="Times New Roman" w:cs="Times New Roman"/>
          <w:sz w:val="24"/>
          <w:szCs w:val="24"/>
        </w:rPr>
        <w:t>ow does compressing temperature measurements result in “more information</w:t>
      </w:r>
      <w:r w:rsidR="0007055D">
        <w:rPr>
          <w:rFonts w:ascii="Times New Roman" w:hAnsi="Times New Roman" w:cs="Times New Roman"/>
          <w:sz w:val="24"/>
          <w:szCs w:val="24"/>
        </w:rPr>
        <w:t>?</w:t>
      </w:r>
      <w:r w:rsidR="00E27B05">
        <w:rPr>
          <w:rFonts w:ascii="Times New Roman" w:hAnsi="Times New Roman" w:cs="Times New Roman"/>
          <w:sz w:val="24"/>
          <w:szCs w:val="24"/>
        </w:rPr>
        <w:t xml:space="preserve">” </w:t>
      </w:r>
      <w:r w:rsidR="0007055D">
        <w:rPr>
          <w:rFonts w:ascii="Times New Roman" w:hAnsi="Times New Roman" w:cs="Times New Roman"/>
          <w:sz w:val="24"/>
          <w:szCs w:val="24"/>
        </w:rPr>
        <w:t xml:space="preserve"> </w:t>
      </w:r>
      <w:r w:rsidR="00222149">
        <w:rPr>
          <w:rFonts w:ascii="Times New Roman" w:hAnsi="Times New Roman" w:cs="Times New Roman"/>
          <w:sz w:val="24"/>
          <w:szCs w:val="24"/>
        </w:rPr>
        <w:t xml:space="preserve">We address these two questions below.  </w:t>
      </w:r>
    </w:p>
    <w:p w14:paraId="4DF6484D" w14:textId="1702FDA9" w:rsidR="00065226" w:rsidRDefault="00222149"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lastRenderedPageBreak/>
        <w:tab/>
      </w:r>
      <w:r w:rsidRPr="00222149">
        <w:rPr>
          <w:rFonts w:ascii="Times New Roman" w:hAnsi="Times New Roman" w:cs="Times New Roman"/>
          <w:sz w:val="24"/>
          <w:szCs w:val="24"/>
        </w:rPr>
        <w:t>Regarding h</w:t>
      </w:r>
      <w:r w:rsidR="00E8774D" w:rsidRPr="00222149">
        <w:rPr>
          <w:rFonts w:ascii="Times New Roman" w:hAnsi="Times New Roman" w:cs="Times New Roman"/>
          <w:sz w:val="24"/>
          <w:szCs w:val="24"/>
        </w:rPr>
        <w:t>ow fishes “know” about temperatures occurring in habitats outside the area being sampled</w:t>
      </w:r>
      <w:r w:rsidRPr="00222149">
        <w:rPr>
          <w:rFonts w:ascii="Times New Roman" w:hAnsi="Times New Roman" w:cs="Times New Roman"/>
          <w:sz w:val="24"/>
          <w:szCs w:val="24"/>
        </w:rPr>
        <w:t xml:space="preserve">: </w:t>
      </w:r>
      <w:r>
        <w:rPr>
          <w:rFonts w:ascii="Times New Roman" w:hAnsi="Times New Roman" w:cs="Times New Roman"/>
          <w:sz w:val="24"/>
          <w:szCs w:val="24"/>
        </w:rPr>
        <w:t>t</w:t>
      </w:r>
      <w:r w:rsidR="0007055D">
        <w:rPr>
          <w:rFonts w:ascii="Times New Roman" w:hAnsi="Times New Roman" w:cs="Times New Roman"/>
          <w:sz w:val="24"/>
          <w:szCs w:val="24"/>
        </w:rPr>
        <w:t xml:space="preserve">he fish and decapods analyzed here are highly mobile and select their habitats after having “sampled” (migrated through or foraged within) other habitats available regionally.  This answer is obvious biologically, and community ecology acknowledges many non-local and regional mechanisms are needed to explain species distribution and density </w:t>
      </w:r>
      <w:r w:rsidR="0007055D">
        <w:rPr>
          <w:rFonts w:ascii="Times New Roman" w:hAnsi="Times New Roman" w:cs="Times New Roman"/>
          <w:sz w:val="24"/>
          <w:szCs w:val="24"/>
        </w:rPr>
        <w:fldChar w:fldCharType="begin"/>
      </w:r>
      <w:r w:rsidR="0007055D">
        <w:rPr>
          <w:rFonts w:ascii="Times New Roman" w:hAnsi="Times New Roman" w:cs="Times New Roman"/>
          <w:sz w:val="24"/>
          <w:szCs w:val="24"/>
        </w:rPr>
        <w:instrText xml:space="preserve"> ADDIN ZOTERO_ITEM CSL_CITATION {"citationID":"cL6r36WB","properties":{"unsorted":true,"formattedCitation":"(HilleRisLambers et al., 2013; Heino et al., 2017)","plainCitation":"(HilleRisLambers et al., 2013; Heino et al., 2017)","noteIndex":0},"citationItems":[{"id":2154,"uris":["http://zotero.org/users/251206/items/NG4THM57"],"uri":["http://zotero.org/users/251206/items/NG4THM57"],"itemData":{"id":2154,"type":"article-journal","title":"How will biotic interactions influence climate change–induced range shifts?","container-title":"Annals of the New York Academy of Sciences","page":"112–125","volume":"1297","issue":"1","source":"Google Scholar","author":[{"family":"HilleRisLambers","given":"Janneke"},{"family":"Harsch","given":"Melanie A."},{"family":"Ettinger","given":"Ailene K."},{"family":"Ford","given":"Kevin R."},{"family":"Theobald","given":"Elinore J."}],"issued":{"date-parts":[["2013"]]}}},{"id":2136,"uris":["http://zotero.org/users/251206/items/JW6XINCZ"],"uri":["http://zotero.org/users/251206/items/JW6XINCZ"],"itemData":{"id":2136,"type":"article-journal","title":"Metacommunity ecology meets biogeography: effects of geographical region, spatial dynamics and environmental filtering on community structure in aquatic organisms","container-title":"Oecologia","page":"121-137","volume":"183","issue":"1","source":"link.springer.com","abstract":"Metacommunity patterns and underlying processes in aquatic organisms have typically been studied within a drainage basin. We examined variation in the composition of six freshwater organismal groups across various drainage basins in Finland. We first modelled spatial structures within each drainage basin using Moran eigenvector maps. Second, we partitioned variation in community structure among three groups of predictors using constrained ordination: (1) local environmental variables, (2) spatial variables, and (3) dummy variable drainage basin identity. Third, we examined turnover and nestedness components of multiple-site beta diversity, and tested the best fit patterns of our datasets using the “elements of metacommunity structure” analysis. Our results showed that basin identity and local environmental variables were significant predictors of community structure, whereas within-basin spatial effects were typically negligible. In half of the organismal groups (diatoms, bryophytes, zooplankton), basin identity was a slightly better predictor of community structure than local environmental variables, whereas the opposite was true for the remaining three organismal groups (insects, macrophytes, fish). Both pure basin and local environmental fractions were, however, significant after accounting for the effects of the other predictor variable sets. All organismal groups exhibited high levels of beta diversity, which was mostly attributable to the turnover component. Our results showed consistent Clementsian-type metacommunity structures, suggesting that subgroups of species responded similarly to environmental factors or drainage basin limits. We conclude that aquatic communities across large scales are mostly determined by environmental and basin effects, which leads to high beta diversity and prevalence of Clementsian community types.","DOI":"10.1007/s00442-016-3750-y","ISSN":"0029-8549, 1432-1939","shortTitle":"Metacommunity ecology meets biogeography","journalAbbreviation":"Oecologia","language":"en","author":[{"family":"Heino","given":"Jani"},{"family":"Soininen","given":"Janne"},{"family":"Alahuhta","given":"Janne"},{"family":"Lappalainen","given":"Jyrki"},{"family":"Virtanen","given":"Risto"}],"issued":{"date-parts":[["2017",1,1]]}}}],"schema":"https://github.com/citation-style-language/schema/raw/master/csl-citation.json"} </w:instrText>
      </w:r>
      <w:r w:rsidR="0007055D">
        <w:rPr>
          <w:rFonts w:ascii="Times New Roman" w:hAnsi="Times New Roman" w:cs="Times New Roman"/>
          <w:sz w:val="24"/>
          <w:szCs w:val="24"/>
        </w:rPr>
        <w:fldChar w:fldCharType="separate"/>
      </w:r>
      <w:r w:rsidR="0007055D" w:rsidRPr="0007055D">
        <w:rPr>
          <w:rFonts w:ascii="Times New Roman" w:hAnsi="Times New Roman" w:cs="Times New Roman"/>
          <w:sz w:val="24"/>
        </w:rPr>
        <w:t>(HilleRisLambers et al., 2013; Heino et al., 2017)</w:t>
      </w:r>
      <w:r w:rsidR="0007055D">
        <w:rPr>
          <w:rFonts w:ascii="Times New Roman" w:hAnsi="Times New Roman" w:cs="Times New Roman"/>
          <w:sz w:val="24"/>
          <w:szCs w:val="24"/>
        </w:rPr>
        <w:fldChar w:fldCharType="end"/>
      </w:r>
      <w:r w:rsidR="0099616D">
        <w:rPr>
          <w:rFonts w:ascii="Times New Roman" w:hAnsi="Times New Roman" w:cs="Times New Roman"/>
          <w:sz w:val="24"/>
          <w:szCs w:val="24"/>
        </w:rPr>
        <w:t>.</w:t>
      </w:r>
      <w:r w:rsidR="0007055D">
        <w:rPr>
          <w:rFonts w:ascii="Times New Roman" w:hAnsi="Times New Roman" w:cs="Times New Roman"/>
          <w:sz w:val="24"/>
          <w:szCs w:val="24"/>
        </w:rPr>
        <w:t xml:space="preserve"> However, SDMs have typically focused on including local habitat measurements within regression models for predicting local densities, and these non-local mechanisms are rarely included explicitly in SDMs.  </w:t>
      </w:r>
      <w:r w:rsidR="00104677">
        <w:rPr>
          <w:rFonts w:ascii="Times New Roman" w:hAnsi="Times New Roman" w:cs="Times New Roman"/>
          <w:sz w:val="24"/>
          <w:szCs w:val="24"/>
        </w:rPr>
        <w:t xml:space="preserve">Alternatively, some SDMs apply a kernel smoother to local covariates prior to inclusion </w:t>
      </w:r>
      <w:r w:rsidR="00104677">
        <w:rPr>
          <w:rFonts w:ascii="Times New Roman" w:hAnsi="Times New Roman" w:cs="Times New Roman"/>
          <w:sz w:val="24"/>
          <w:szCs w:val="24"/>
        </w:rPr>
        <w:fldChar w:fldCharType="begin"/>
      </w:r>
      <w:r w:rsidR="00104677">
        <w:rPr>
          <w:rFonts w:ascii="Times New Roman" w:hAnsi="Times New Roman" w:cs="Times New Roman"/>
          <w:sz w:val="24"/>
          <w:szCs w:val="24"/>
        </w:rPr>
        <w:instrText xml:space="preserve"> ADDIN ZOTERO_ITEM CSL_CITATION {"citationID":"n0aR9G7r","properties":{"formattedCitation":"(Chandler and Hepinstall-Cymerman, 2016; Frishkoff et al., In press)","plainCitation":"(Chandler and Hepinstall-Cymerman, 2016; Frishkoff et al., In press)","noteIndex":0},"citationItems":[{"id":5083,"uris":["http://zotero.org/users/251206/items/4SA558G3"],"uri":["http://zotero.org/users/251206/items/4SA558G3"],"itemData":{"id":5083,"type":"article-journal","title":"Estimating the spatial scales of landscape effects on abundance","container-title":"Landscape Ecology","page":"1383-1394","volume":"31","issue":"6","source":"Springer Link","abstract":"ContextSpatial variation in abundance is influenced by local- and landscape-level environmental variables, but modeling landscape effects is challenging because the spatial scales of the relationships are unknown. Current approaches involve buffering survey locations with polygons of various sizes and using model selection to identify the best scale. The buffering approach does not acknowledge that the influence of surrounding landscape features should diminish with distance, and it does not yield an estimate of the unknown scale parameters.ObjectivesThe purpose of this paper is to present an approach that allows for statistical inference about the scales at which landscape variables affect abundance.MethodsOur method uses smoothing kernels to average landscape variables around focal sites and uses maximum likelihood to estimate the scale parameters of the kernels and the effects of the smoothed variables on abundance. We assessed model performance using a simulation study and an avian point count dataset.ResultsThe simulation study demonstrated that estimators are unbiased and produce correct confidence interval coverage except in the rare case in which there is little spatial autocorrelation in the landscape variable. Canada warbler abundance was more highly correlated with site-level measures of NDVI than landscape-level NDVI, but the reverse was true for elevation. Canada warbler abundance was highest when elevation in the surrounding landscape, defined by an estimated Gaussian kernel, was between 1300 and 1400 m.ConclusionsOur method provides a rigorous way of formally estimating the scales at which landscape variables affect abundance, and it can be embedded within most classes of statistical models.","DOI":"10.1007/s10980-016-0380-z","ISSN":"1572-9761","journalAbbreviation":"Landscape Ecol","language":"en","author":[{"family":"Chandler","given":"Richard"},{"family":"Hepinstall-Cymerman","given":"Jeffrey"}],"issued":{"date-parts":[["2016",8,1]]}}},{"id":5084,"uris":["http://zotero.org/users/251206/items/L92FLIMU"],"uri":["http://zotero.org/users/251206/items/L92FLIMU"],"itemData":{"id":5084,"type":"article-journal","title":"Integrating Over Uncertainty In Spatial Scale Of Response Within Multispecies Occupancy Models Yields More Accurate Assessments Of Community Composition","container-title":"Ecography","abstract":"&lt;p&gt;Species abundance and community composition are affected not only by the local environment, but also by broader landscape and regional context. Yet determining the spatial scale at which landscapes affect species remains a persistent challenge that hinders ecologists9 abilities to understand how environmental gradients influence species presence and shape entire communities, especially in the face of data deficient species and imperfect species detection. Here we present a Bayesian framework that allows uncertainty surrounding the ‘true’ spatial scale of species9 responses (i.e., changes in presence/absence) to be integrated directly into a community hierarchical model. This scale selecting multi-species occupancy model (ssMSOM) estimates the scale of response, and shows high accuracy and correct type I error rates across a broad range of simulation conditions. In contrast, ensembles of single species GLMs frequently fail to detect the correct spatial scale of response, and are often falsely confident in favoring the incorrect spatial scale, especially as species9 detection probabilities deviate from perfect. Integrating spatial scale selection directly into hierarchical community models provides a means of formally testing hypotheses regarding spatial scales of response, and more accurately determining the environmental drivers that shape communities.&lt;/p&gt;","language":"en","author":[{"family":"Frishkoff","given":"Luke O."},{"family":"Mahler","given":"D. Luke"},{"family":"Fortin","given":"Marie-Josee"}],"issued":{"literal":"In press"}}}],"schema":"https://github.com/citation-style-language/schema/raw/master/csl-citation.json"} </w:instrText>
      </w:r>
      <w:r w:rsidR="00104677">
        <w:rPr>
          <w:rFonts w:ascii="Times New Roman" w:hAnsi="Times New Roman" w:cs="Times New Roman"/>
          <w:sz w:val="24"/>
          <w:szCs w:val="24"/>
        </w:rPr>
        <w:fldChar w:fldCharType="separate"/>
      </w:r>
      <w:r w:rsidR="00104677" w:rsidRPr="00104677">
        <w:rPr>
          <w:rFonts w:ascii="Times New Roman" w:hAnsi="Times New Roman" w:cs="Times New Roman"/>
          <w:sz w:val="24"/>
        </w:rPr>
        <w:t>(Chandler and Hepinstall-Cymerman, 2016; Frishkoff et al., In press)</w:t>
      </w:r>
      <w:r w:rsidR="00104677">
        <w:rPr>
          <w:rFonts w:ascii="Times New Roman" w:hAnsi="Times New Roman" w:cs="Times New Roman"/>
          <w:sz w:val="24"/>
          <w:szCs w:val="24"/>
        </w:rPr>
        <w:fldChar w:fldCharType="end"/>
      </w:r>
      <w:r w:rsidR="00104677">
        <w:rPr>
          <w:rFonts w:ascii="Times New Roman" w:hAnsi="Times New Roman" w:cs="Times New Roman"/>
          <w:sz w:val="24"/>
          <w:szCs w:val="24"/>
        </w:rPr>
        <w:t xml:space="preserve">; this smoother captures the response to a spatial average of nearby habitats, but does not allow for complicated dependencies on spatially distant habitats like the </w:t>
      </w:r>
      <w:r w:rsidR="00D509D9">
        <w:rPr>
          <w:rFonts w:ascii="Times New Roman" w:hAnsi="Times New Roman" w:cs="Times New Roman"/>
          <w:sz w:val="24"/>
          <w:szCs w:val="24"/>
        </w:rPr>
        <w:t>spatially vary</w:t>
      </w:r>
      <w:r w:rsidR="00104677">
        <w:rPr>
          <w:rFonts w:ascii="Times New Roman" w:hAnsi="Times New Roman" w:cs="Times New Roman"/>
          <w:sz w:val="24"/>
          <w:szCs w:val="24"/>
        </w:rPr>
        <w:t xml:space="preserve">ing coefficient model explored here.  </w:t>
      </w:r>
      <w:r w:rsidR="009A4722">
        <w:rPr>
          <w:rFonts w:ascii="Times New Roman" w:hAnsi="Times New Roman" w:cs="Times New Roman"/>
          <w:sz w:val="24"/>
          <w:szCs w:val="24"/>
        </w:rPr>
        <w:t xml:space="preserve">I therefore argue </w:t>
      </w:r>
      <w:r w:rsidR="0007055D">
        <w:rPr>
          <w:rFonts w:ascii="Times New Roman" w:hAnsi="Times New Roman" w:cs="Times New Roman"/>
          <w:sz w:val="24"/>
          <w:szCs w:val="24"/>
        </w:rPr>
        <w:t xml:space="preserve">that </w:t>
      </w:r>
      <w:r w:rsidR="00D509D9">
        <w:rPr>
          <w:rFonts w:ascii="Times New Roman" w:hAnsi="Times New Roman" w:cs="Times New Roman"/>
          <w:sz w:val="24"/>
          <w:szCs w:val="24"/>
        </w:rPr>
        <w:t>spatially vary</w:t>
      </w:r>
      <w:r w:rsidR="0007055D">
        <w:rPr>
          <w:rFonts w:ascii="Times New Roman" w:hAnsi="Times New Roman" w:cs="Times New Roman"/>
          <w:sz w:val="24"/>
          <w:szCs w:val="24"/>
        </w:rPr>
        <w:t>ing coefficients for annual ocean</w:t>
      </w:r>
      <w:r w:rsidR="0099616D">
        <w:rPr>
          <w:rFonts w:ascii="Times New Roman" w:hAnsi="Times New Roman" w:cs="Times New Roman"/>
          <w:sz w:val="24"/>
          <w:szCs w:val="24"/>
        </w:rPr>
        <w:t>o</w:t>
      </w:r>
      <w:r w:rsidR="0007055D">
        <w:rPr>
          <w:rFonts w:ascii="Times New Roman" w:hAnsi="Times New Roman" w:cs="Times New Roman"/>
          <w:sz w:val="24"/>
          <w:szCs w:val="24"/>
        </w:rPr>
        <w:t xml:space="preserve">graphic indices represent a useful </w:t>
      </w:r>
      <w:r w:rsidR="00104677">
        <w:rPr>
          <w:rFonts w:ascii="Times New Roman" w:hAnsi="Times New Roman" w:cs="Times New Roman"/>
          <w:sz w:val="24"/>
          <w:szCs w:val="24"/>
        </w:rPr>
        <w:t xml:space="preserve">and flexible </w:t>
      </w:r>
      <w:r w:rsidR="0007055D">
        <w:rPr>
          <w:rFonts w:ascii="Times New Roman" w:hAnsi="Times New Roman" w:cs="Times New Roman"/>
          <w:sz w:val="24"/>
          <w:szCs w:val="24"/>
        </w:rPr>
        <w:t xml:space="preserve">way to represent habitat selection as animals respond to information about resource availability in years with different oceanographic conditions.  </w:t>
      </w:r>
      <w:r w:rsidR="00D609C7">
        <w:rPr>
          <w:rFonts w:ascii="Times New Roman" w:hAnsi="Times New Roman" w:cs="Times New Roman"/>
          <w:sz w:val="24"/>
          <w:szCs w:val="24"/>
        </w:rPr>
        <w:t xml:space="preserve">For example, pollock in the Bering Sea have been shown to distribute along the sea-ice break during spring </w:t>
      </w:r>
      <w:r w:rsidR="00D609C7">
        <w:rPr>
          <w:rFonts w:ascii="Times New Roman" w:hAnsi="Times New Roman" w:cs="Times New Roman"/>
          <w:sz w:val="24"/>
          <w:szCs w:val="24"/>
        </w:rPr>
        <w:fldChar w:fldCharType="begin"/>
      </w:r>
      <w:r w:rsidR="00D609C7">
        <w:rPr>
          <w:rFonts w:ascii="Times New Roman" w:hAnsi="Times New Roman" w:cs="Times New Roman"/>
          <w:sz w:val="24"/>
          <w:szCs w:val="24"/>
        </w:rPr>
        <w:instrText xml:space="preserve"> ADDIN ZOTERO_ITEM CSL_CITATION {"citationID":"xD5wJOmn","properties":{"formattedCitation":"(De Robertis and Cokelet, 2012)","plainCitation":"(De Robertis and Cokelet, 2012)","noteIndex":0},"citationItems":[{"id":5114,"uris":["http://zotero.org/users/251206/items/L7KJJ5W6"],"uri":["http://zotero.org/users/251206/items/L7KJJ5W6"],"itemData":{"id":5114,"type":"article-journal","title":"Distribution of fish and macrozooplankton in ice-covered and open-water areas of the eastern Bering Sea","container-title":"Deep Sea Research Part II: Topical Studies in Oceanography","collection-title":"Understanding Ecosystem Processes in the Eastern Bering Sea","page":"217-229","volume":"65-70","source":"ScienceDirect","abstract":"The eastern Bering Sea shelf is a productive ecosystem with extensive commercial fisheries. Although the area is well-studied during summer months, little is known about the abundance and distribution of fish and macrozooplankton during periods of seasonal ice cover. The use of an icebreaker during the Bering Sea Ecosystem Study (BEST) provided a platform for spring acoustic surveys of fish and zooplankton in ice-covered areas for the first time. Icebreaker measurements were complemented with observations from conventional vessels during spring and summer. In spring, very little backscatter from fish (dominated by walleye pollock, Theragra chalcogramma) was observed in the ice-covered northern areas where near-bottom waters were cold (&lt;</w:instrText>
      </w:r>
      <w:r w:rsidR="00D609C7">
        <w:rPr>
          <w:rFonts w:ascii="Cambria Math" w:hAnsi="Cambria Math" w:cs="Cambria Math"/>
          <w:sz w:val="24"/>
          <w:szCs w:val="24"/>
        </w:rPr>
        <w:instrText>∼</w:instrText>
      </w:r>
      <w:r w:rsidR="00D609C7">
        <w:rPr>
          <w:rFonts w:ascii="Times New Roman" w:hAnsi="Times New Roman" w:cs="Times New Roman"/>
          <w:sz w:val="24"/>
          <w:szCs w:val="24"/>
        </w:rPr>
        <w:instrText xml:space="preserve">0.5°C), including areas where walleye pollock are abundant in summer. The majority of fish were observed within 40km (and often slightly inside) the ice edge over similar seafloor depths as in summer. Together, these observations suggest that pollock, a dominant component of the ecosystem, shift their distribution to a more restricted geographic area in spring, following the ice edge southeast along the bathymetry, away from areas of cold water and extensive ice cover, then reoccupying these areas in summer. In contrast, acoustic backscatter attributed to zooplankton (likely dominated by euphausiids) was more evenly distributed, and less restricted by water temperature and ice cover. The implications of this seasonal shift in fish distribution are uncertain, but this may affect predator–prey interactions by reducing overlap of pollock with euphausiids, an important prey source, while increasing overlap of adult and juvenile pollock and potentially increasing cannibalism.","DOI":"10.1016/j.dsr2.2012.02.005","ISSN":"0967-0645","journalAbbreviation":"Deep Sea Research Part II: Topical Studies in Oceanography","author":[{"family":"De Robertis","given":"Alex"},{"family":"Cokelet","given":"Edward D."}],"issued":{"date-parts":[["2012",6,15]]}}}],"schema":"https://github.com/citation-style-language/schema/raw/master/csl-citation.json"} </w:instrText>
      </w:r>
      <w:r w:rsidR="00D609C7">
        <w:rPr>
          <w:rFonts w:ascii="Times New Roman" w:hAnsi="Times New Roman" w:cs="Times New Roman"/>
          <w:sz w:val="24"/>
          <w:szCs w:val="24"/>
        </w:rPr>
        <w:fldChar w:fldCharType="separate"/>
      </w:r>
      <w:r w:rsidR="00D609C7" w:rsidRPr="00D609C7">
        <w:rPr>
          <w:rFonts w:ascii="Times New Roman" w:hAnsi="Times New Roman" w:cs="Times New Roman"/>
          <w:sz w:val="24"/>
        </w:rPr>
        <w:t>(De Robertis and Cokelet, 2012)</w:t>
      </w:r>
      <w:r w:rsidR="00D609C7">
        <w:rPr>
          <w:rFonts w:ascii="Times New Roman" w:hAnsi="Times New Roman" w:cs="Times New Roman"/>
          <w:sz w:val="24"/>
          <w:szCs w:val="24"/>
        </w:rPr>
        <w:fldChar w:fldCharType="end"/>
      </w:r>
      <w:r w:rsidR="00D609C7">
        <w:rPr>
          <w:rFonts w:ascii="Times New Roman" w:hAnsi="Times New Roman" w:cs="Times New Roman"/>
          <w:sz w:val="24"/>
          <w:szCs w:val="24"/>
        </w:rPr>
        <w:t xml:space="preserve">, and the location of the ice-break is driven by several region-scale and lagged processes that are not necessarily related to local bottom temperatures.  </w:t>
      </w:r>
      <w:r w:rsidR="005410AC">
        <w:rPr>
          <w:rFonts w:ascii="Times New Roman" w:hAnsi="Times New Roman" w:cs="Times New Roman"/>
          <w:sz w:val="24"/>
          <w:szCs w:val="24"/>
        </w:rPr>
        <w:t xml:space="preserve">In these cases, a regional covariate (e.g., sea-ice extent) represents the integrated effect of lagged and geographically distant habitat conditions that affect fish decisions regarding habitat selection.  </w:t>
      </w:r>
    </w:p>
    <w:p w14:paraId="5ACF7218" w14:textId="0CF60D4F" w:rsidR="0007055D" w:rsidRDefault="00222149" w:rsidP="00B46FB7">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i/>
          <w:sz w:val="24"/>
          <w:szCs w:val="24"/>
        </w:rPr>
        <w:tab/>
      </w:r>
      <w:r w:rsidRPr="00222149">
        <w:rPr>
          <w:rFonts w:ascii="Times New Roman" w:hAnsi="Times New Roman" w:cs="Times New Roman"/>
          <w:sz w:val="24"/>
          <w:szCs w:val="24"/>
        </w:rPr>
        <w:t>Regarding h</w:t>
      </w:r>
      <w:r w:rsidR="00E8774D" w:rsidRPr="00222149">
        <w:rPr>
          <w:rFonts w:ascii="Times New Roman" w:hAnsi="Times New Roman" w:cs="Times New Roman"/>
          <w:sz w:val="24"/>
          <w:szCs w:val="24"/>
        </w:rPr>
        <w:t>ow compressing temperature measurements result in more information</w:t>
      </w:r>
      <w:r>
        <w:rPr>
          <w:rFonts w:ascii="Times New Roman" w:hAnsi="Times New Roman" w:cs="Times New Roman"/>
          <w:sz w:val="24"/>
          <w:szCs w:val="24"/>
        </w:rPr>
        <w:t>:  t</w:t>
      </w:r>
      <w:r w:rsidR="0007055D">
        <w:rPr>
          <w:rFonts w:ascii="Times New Roman" w:hAnsi="Times New Roman" w:cs="Times New Roman"/>
          <w:sz w:val="24"/>
          <w:szCs w:val="24"/>
        </w:rPr>
        <w:t xml:space="preserve">he </w:t>
      </w:r>
      <w:r w:rsidR="00D509D9">
        <w:rPr>
          <w:rFonts w:ascii="Times New Roman" w:hAnsi="Times New Roman" w:cs="Times New Roman"/>
          <w:sz w:val="24"/>
          <w:szCs w:val="24"/>
        </w:rPr>
        <w:t>spatially vary</w:t>
      </w:r>
      <w:r w:rsidR="0007055D">
        <w:rPr>
          <w:rFonts w:ascii="Times New Roman" w:hAnsi="Times New Roman" w:cs="Times New Roman"/>
          <w:sz w:val="24"/>
          <w:szCs w:val="24"/>
        </w:rPr>
        <w:t xml:space="preserve">ing effect of cold-pool area upon numbers-density and average-weight (Fig. 3) </w:t>
      </w:r>
      <w:r w:rsidR="007601BD">
        <w:rPr>
          <w:rFonts w:ascii="Times New Roman" w:hAnsi="Times New Roman" w:cs="Times New Roman"/>
          <w:sz w:val="24"/>
          <w:szCs w:val="24"/>
        </w:rPr>
        <w:t xml:space="preserve">differs greatly among species in a way that cannot be explained by the local impact of bottom </w:t>
      </w:r>
      <w:r w:rsidR="007601BD">
        <w:rPr>
          <w:rFonts w:ascii="Times New Roman" w:hAnsi="Times New Roman" w:cs="Times New Roman"/>
          <w:sz w:val="24"/>
          <w:szCs w:val="24"/>
        </w:rPr>
        <w:lastRenderedPageBreak/>
        <w:t>temperature</w:t>
      </w:r>
      <w:r w:rsidR="0007055D">
        <w:rPr>
          <w:rFonts w:ascii="Times New Roman" w:hAnsi="Times New Roman" w:cs="Times New Roman"/>
          <w:sz w:val="24"/>
          <w:szCs w:val="24"/>
        </w:rPr>
        <w:t xml:space="preserve">.  </w:t>
      </w:r>
      <w:r w:rsidR="007D7873">
        <w:rPr>
          <w:rFonts w:ascii="Times New Roman" w:hAnsi="Times New Roman" w:cs="Times New Roman"/>
          <w:sz w:val="24"/>
          <w:szCs w:val="24"/>
        </w:rPr>
        <w:t xml:space="preserve">For example, </w:t>
      </w:r>
      <w:r w:rsidR="007D7873">
        <w:rPr>
          <w:rFonts w:ascii="Times New Roman" w:hAnsi="Times New Roman" w:cs="Times New Roman"/>
          <w:i/>
          <w:sz w:val="24"/>
          <w:szCs w:val="24"/>
        </w:rPr>
        <w:t xml:space="preserve">Gadus chalcogrammus </w:t>
      </w:r>
      <w:r w:rsidR="007D7873">
        <w:rPr>
          <w:rFonts w:ascii="Times New Roman" w:hAnsi="Times New Roman" w:cs="Times New Roman"/>
          <w:sz w:val="24"/>
          <w:szCs w:val="24"/>
        </w:rPr>
        <w:t xml:space="preserve">has reduced </w:t>
      </w:r>
      <w:r w:rsidR="00E8774D">
        <w:rPr>
          <w:rFonts w:ascii="Times New Roman" w:hAnsi="Times New Roman" w:cs="Times New Roman"/>
          <w:sz w:val="24"/>
          <w:szCs w:val="24"/>
        </w:rPr>
        <w:t xml:space="preserve">densities in the northern boundary in years with high </w:t>
      </w:r>
      <w:r w:rsidR="00A349B6">
        <w:rPr>
          <w:rFonts w:ascii="Times New Roman" w:hAnsi="Times New Roman" w:cs="Times New Roman"/>
          <w:sz w:val="24"/>
          <w:szCs w:val="24"/>
        </w:rPr>
        <w:t xml:space="preserve">cold-pool </w:t>
      </w:r>
      <w:r w:rsidR="00E8774D">
        <w:rPr>
          <w:rFonts w:ascii="Times New Roman" w:hAnsi="Times New Roman" w:cs="Times New Roman"/>
          <w:sz w:val="24"/>
          <w:szCs w:val="24"/>
        </w:rPr>
        <w:t>extent, and this clearly mirrors the areas where bottom temperatures are strongly impacted by</w:t>
      </w:r>
      <w:r w:rsidR="00A349B6">
        <w:rPr>
          <w:rFonts w:ascii="Times New Roman" w:hAnsi="Times New Roman" w:cs="Times New Roman"/>
          <w:sz w:val="24"/>
          <w:szCs w:val="24"/>
        </w:rPr>
        <w:t xml:space="preserve"> cold-pool</w:t>
      </w:r>
      <w:r w:rsidR="00E8774D">
        <w:rPr>
          <w:rFonts w:ascii="Times New Roman" w:hAnsi="Times New Roman" w:cs="Times New Roman"/>
          <w:sz w:val="24"/>
          <w:szCs w:val="24"/>
        </w:rPr>
        <w:t xml:space="preserve"> extent.  However, </w:t>
      </w:r>
      <w:r w:rsidR="00E8774D">
        <w:rPr>
          <w:rFonts w:ascii="Times New Roman" w:hAnsi="Times New Roman" w:cs="Times New Roman"/>
          <w:i/>
          <w:sz w:val="24"/>
          <w:szCs w:val="24"/>
        </w:rPr>
        <w:t>Clupea pallasii</w:t>
      </w:r>
      <w:r w:rsidR="00E8774D">
        <w:rPr>
          <w:rFonts w:ascii="Times New Roman" w:hAnsi="Times New Roman" w:cs="Times New Roman"/>
          <w:sz w:val="24"/>
          <w:szCs w:val="24"/>
        </w:rPr>
        <w:t xml:space="preserve"> and </w:t>
      </w:r>
      <w:r w:rsidR="00E8774D">
        <w:rPr>
          <w:rFonts w:ascii="Times New Roman" w:hAnsi="Times New Roman" w:cs="Times New Roman"/>
          <w:i/>
          <w:sz w:val="24"/>
          <w:szCs w:val="24"/>
        </w:rPr>
        <w:t>Hippoglossus stenolepsis</w:t>
      </w:r>
      <w:r w:rsidR="00E8774D">
        <w:rPr>
          <w:rFonts w:ascii="Times New Roman" w:hAnsi="Times New Roman" w:cs="Times New Roman"/>
          <w:sz w:val="24"/>
          <w:szCs w:val="24"/>
        </w:rPr>
        <w:t xml:space="preserve"> show contrasting </w:t>
      </w:r>
      <w:r w:rsidR="00A349B6">
        <w:rPr>
          <w:rFonts w:ascii="Times New Roman" w:hAnsi="Times New Roman" w:cs="Times New Roman"/>
          <w:sz w:val="24"/>
          <w:szCs w:val="24"/>
        </w:rPr>
        <w:t>effects</w:t>
      </w:r>
      <w:r w:rsidR="00E8774D">
        <w:rPr>
          <w:rFonts w:ascii="Times New Roman" w:hAnsi="Times New Roman" w:cs="Times New Roman"/>
          <w:sz w:val="24"/>
          <w:szCs w:val="24"/>
        </w:rPr>
        <w:t xml:space="preserve"> of</w:t>
      </w:r>
      <w:r w:rsidR="00A349B6">
        <w:rPr>
          <w:rFonts w:ascii="Times New Roman" w:hAnsi="Times New Roman" w:cs="Times New Roman"/>
          <w:sz w:val="24"/>
          <w:szCs w:val="24"/>
        </w:rPr>
        <w:t xml:space="preserve"> cold-pool</w:t>
      </w:r>
      <w:r w:rsidR="00E8774D">
        <w:rPr>
          <w:rFonts w:ascii="Times New Roman" w:hAnsi="Times New Roman" w:cs="Times New Roman"/>
          <w:sz w:val="24"/>
          <w:szCs w:val="24"/>
        </w:rPr>
        <w:t xml:space="preserve"> extent and neither exactly </w:t>
      </w:r>
      <w:r w:rsidR="007601BD">
        <w:rPr>
          <w:rFonts w:ascii="Times New Roman" w:hAnsi="Times New Roman" w:cs="Times New Roman"/>
          <w:sz w:val="24"/>
          <w:szCs w:val="24"/>
        </w:rPr>
        <w:t xml:space="preserve">coincides with areas that show greatest changes </w:t>
      </w:r>
      <w:r w:rsidR="00E8774D">
        <w:rPr>
          <w:rFonts w:ascii="Times New Roman" w:hAnsi="Times New Roman" w:cs="Times New Roman"/>
          <w:sz w:val="24"/>
          <w:szCs w:val="24"/>
        </w:rPr>
        <w:t xml:space="preserve">in local temperature. </w:t>
      </w:r>
      <w:r w:rsidR="007601BD">
        <w:rPr>
          <w:rFonts w:ascii="Times New Roman" w:hAnsi="Times New Roman" w:cs="Times New Roman"/>
          <w:sz w:val="24"/>
          <w:szCs w:val="24"/>
        </w:rPr>
        <w:t xml:space="preserve"> </w:t>
      </w:r>
      <w:r w:rsidR="00B521D7">
        <w:rPr>
          <w:rFonts w:ascii="Times New Roman" w:eastAsiaTheme="minorEastAsia" w:hAnsi="Times New Roman" w:cs="Times New Roman"/>
          <w:sz w:val="24"/>
          <w:szCs w:val="24"/>
        </w:rPr>
        <w:t xml:space="preserve">We therefore </w:t>
      </w:r>
      <w:r w:rsidR="007601BD">
        <w:rPr>
          <w:rFonts w:ascii="Times New Roman" w:eastAsiaTheme="minorEastAsia" w:hAnsi="Times New Roman" w:cs="Times New Roman"/>
          <w:sz w:val="24"/>
          <w:szCs w:val="24"/>
        </w:rPr>
        <w:t xml:space="preserve">see a </w:t>
      </w:r>
      <w:r w:rsidR="00D509D9">
        <w:rPr>
          <w:rFonts w:ascii="Times New Roman" w:eastAsiaTheme="minorEastAsia" w:hAnsi="Times New Roman" w:cs="Times New Roman"/>
          <w:sz w:val="24"/>
          <w:szCs w:val="24"/>
        </w:rPr>
        <w:t>spatially vary</w:t>
      </w:r>
      <w:r w:rsidR="007601BD">
        <w:rPr>
          <w:rFonts w:ascii="Times New Roman" w:eastAsiaTheme="minorEastAsia" w:hAnsi="Times New Roman" w:cs="Times New Roman"/>
          <w:sz w:val="24"/>
          <w:szCs w:val="24"/>
        </w:rPr>
        <w:t xml:space="preserve">ing response to cold-pool area as an approximation to regional temperature impacts that vary among species.  </w:t>
      </w:r>
      <w:r>
        <w:rPr>
          <w:rFonts w:ascii="Times New Roman" w:eastAsiaTheme="minorEastAsia" w:hAnsi="Times New Roman" w:cs="Times New Roman"/>
          <w:sz w:val="24"/>
          <w:szCs w:val="24"/>
        </w:rPr>
        <w:t xml:space="preserve">In particular, compressing temperature to calculate cold-pool area and then using a species-specific projection of this </w:t>
      </w:r>
      <w:r w:rsidR="00104677">
        <w:rPr>
          <w:rFonts w:ascii="Times New Roman" w:eastAsiaTheme="minorEastAsia" w:hAnsi="Times New Roman" w:cs="Times New Roman"/>
          <w:sz w:val="24"/>
          <w:szCs w:val="24"/>
        </w:rPr>
        <w:t xml:space="preserve">index </w:t>
      </w:r>
      <w:r>
        <w:rPr>
          <w:rFonts w:ascii="Times New Roman" w:eastAsiaTheme="minorEastAsia" w:hAnsi="Times New Roman" w:cs="Times New Roman"/>
          <w:sz w:val="24"/>
          <w:szCs w:val="24"/>
        </w:rPr>
        <w:t>on distribution approximates a flexible “functional” translating both local and non-local temperatures to densities maps</w:t>
      </w:r>
      <w:r w:rsidR="00104677">
        <w:rPr>
          <w:rFonts w:ascii="Times New Roman" w:eastAsiaTheme="minorEastAsia" w:hAnsi="Times New Roman" w:cs="Times New Roman"/>
          <w:sz w:val="24"/>
          <w:szCs w:val="24"/>
        </w:rPr>
        <w:t xml:space="preserve"> (see </w:t>
      </w:r>
      <w:r w:rsidR="00104677" w:rsidRPr="00104677">
        <w:rPr>
          <w:rFonts w:ascii="Times New Roman" w:eastAsiaTheme="minorEastAsia" w:hAnsi="Times New Roman" w:cs="Times New Roman"/>
          <w:i/>
          <w:sz w:val="24"/>
          <w:szCs w:val="24"/>
        </w:rPr>
        <w:t xml:space="preserve">Interpretation of </w:t>
      </w:r>
      <w:r w:rsidR="00D509D9">
        <w:rPr>
          <w:rFonts w:ascii="Times New Roman" w:eastAsiaTheme="minorEastAsia" w:hAnsi="Times New Roman" w:cs="Times New Roman"/>
          <w:i/>
          <w:sz w:val="24"/>
          <w:szCs w:val="24"/>
        </w:rPr>
        <w:t>spatially vary</w:t>
      </w:r>
      <w:r w:rsidR="00104677" w:rsidRPr="00104677">
        <w:rPr>
          <w:rFonts w:ascii="Times New Roman" w:eastAsiaTheme="minorEastAsia" w:hAnsi="Times New Roman" w:cs="Times New Roman"/>
          <w:i/>
          <w:sz w:val="24"/>
          <w:szCs w:val="24"/>
        </w:rPr>
        <w:t>ing coefficients in spatio-temporal models</w:t>
      </w:r>
      <w:r w:rsidR="00104677">
        <w:rPr>
          <w:rFonts w:ascii="Times New Roman" w:eastAsiaTheme="minorEastAsia" w:hAnsi="Times New Roman" w:cs="Times New Roman"/>
          <w:sz w:val="24"/>
          <w:szCs w:val="24"/>
        </w:rPr>
        <w:t xml:space="preserve"> for more details)</w:t>
      </w:r>
      <w:r>
        <w:rPr>
          <w:rFonts w:ascii="Times New Roman" w:eastAsiaTheme="minorEastAsia" w:hAnsi="Times New Roman" w:cs="Times New Roman"/>
          <w:sz w:val="24"/>
          <w:szCs w:val="24"/>
        </w:rPr>
        <w:t xml:space="preserve">.  </w:t>
      </w:r>
      <w:r w:rsidR="00B46FB7">
        <w:rPr>
          <w:rFonts w:ascii="Times New Roman" w:eastAsiaTheme="minorEastAsia" w:hAnsi="Times New Roman" w:cs="Times New Roman"/>
          <w:sz w:val="24"/>
          <w:szCs w:val="24"/>
        </w:rPr>
        <w:t>W</w:t>
      </w:r>
      <w:r w:rsidR="007601BD">
        <w:rPr>
          <w:rFonts w:ascii="Times New Roman" w:eastAsiaTheme="minorEastAsia" w:hAnsi="Times New Roman" w:cs="Times New Roman"/>
          <w:sz w:val="24"/>
          <w:szCs w:val="24"/>
        </w:rPr>
        <w:t xml:space="preserve">e </w:t>
      </w:r>
      <w:r w:rsidR="00B46FB7">
        <w:rPr>
          <w:rFonts w:ascii="Times New Roman" w:eastAsiaTheme="minorEastAsia" w:hAnsi="Times New Roman" w:cs="Times New Roman"/>
          <w:sz w:val="24"/>
          <w:szCs w:val="24"/>
        </w:rPr>
        <w:t xml:space="preserve">therefore encourage </w:t>
      </w:r>
      <w:r w:rsidR="00B521D7">
        <w:rPr>
          <w:rFonts w:ascii="Times New Roman" w:eastAsiaTheme="minorEastAsia" w:hAnsi="Times New Roman" w:cs="Times New Roman"/>
          <w:sz w:val="24"/>
          <w:szCs w:val="24"/>
        </w:rPr>
        <w:t xml:space="preserve">ongoing research to allow </w:t>
      </w:r>
      <w:r w:rsidR="007601BD">
        <w:rPr>
          <w:rFonts w:ascii="Times New Roman" w:eastAsiaTheme="minorEastAsia" w:hAnsi="Times New Roman" w:cs="Times New Roman"/>
          <w:sz w:val="24"/>
          <w:szCs w:val="24"/>
        </w:rPr>
        <w:t xml:space="preserve">spatio-temporal </w:t>
      </w:r>
      <w:r w:rsidR="00B521D7">
        <w:rPr>
          <w:rFonts w:ascii="Times New Roman" w:eastAsiaTheme="minorEastAsia" w:hAnsi="Times New Roman" w:cs="Times New Roman"/>
          <w:sz w:val="24"/>
          <w:szCs w:val="24"/>
        </w:rPr>
        <w:t>model</w:t>
      </w:r>
      <w:r w:rsidR="007601BD">
        <w:rPr>
          <w:rFonts w:ascii="Times New Roman" w:eastAsiaTheme="minorEastAsia" w:hAnsi="Times New Roman" w:cs="Times New Roman"/>
          <w:sz w:val="24"/>
          <w:szCs w:val="24"/>
        </w:rPr>
        <w:t>s</w:t>
      </w:r>
      <w:r w:rsidR="00B521D7">
        <w:rPr>
          <w:rFonts w:ascii="Times New Roman" w:eastAsiaTheme="minorEastAsia" w:hAnsi="Times New Roman" w:cs="Times New Roman"/>
          <w:sz w:val="24"/>
          <w:szCs w:val="24"/>
        </w:rPr>
        <w:t xml:space="preserve"> to simultaneously estimate </w:t>
      </w:r>
      <w:r w:rsidR="007601BD">
        <w:rPr>
          <w:rFonts w:ascii="Times New Roman" w:eastAsiaTheme="minorEastAsia" w:hAnsi="Times New Roman" w:cs="Times New Roman"/>
          <w:sz w:val="24"/>
          <w:szCs w:val="24"/>
        </w:rPr>
        <w:t xml:space="preserve">a generalized </w:t>
      </w:r>
      <w:r>
        <w:rPr>
          <w:rFonts w:ascii="Times New Roman" w:eastAsiaTheme="minorEastAsia" w:hAnsi="Times New Roman" w:cs="Times New Roman"/>
          <w:sz w:val="24"/>
          <w:szCs w:val="24"/>
        </w:rPr>
        <w:t xml:space="preserve">“compression” </w:t>
      </w:r>
      <w:r w:rsidR="007601BD">
        <w:rPr>
          <w:rFonts w:ascii="Times New Roman" w:eastAsiaTheme="minorEastAsia" w:hAnsi="Times New Roman" w:cs="Times New Roman"/>
          <w:sz w:val="24"/>
          <w:szCs w:val="24"/>
        </w:rPr>
        <w:t xml:space="preserve">function </w:t>
      </w:r>
      <w:r>
        <w:rPr>
          <w:rFonts w:ascii="Times New Roman" w:eastAsiaTheme="minorEastAsia" w:hAnsi="Times New Roman" w:cs="Times New Roman"/>
          <w:sz w:val="24"/>
          <w:szCs w:val="24"/>
        </w:rPr>
        <w:t xml:space="preserve">calculating regional indices from local environmental conditions, in addition to the nonparametric “projection” function that </w:t>
      </w:r>
      <w:r w:rsidR="00D509D9">
        <w:rPr>
          <w:rFonts w:ascii="Times New Roman" w:eastAsiaTheme="minorEastAsia" w:hAnsi="Times New Roman" w:cs="Times New Roman"/>
          <w:sz w:val="24"/>
          <w:szCs w:val="24"/>
        </w:rPr>
        <w:t>spatially vary</w:t>
      </w:r>
      <w:r>
        <w:rPr>
          <w:rFonts w:ascii="Times New Roman" w:eastAsiaTheme="minorEastAsia" w:hAnsi="Times New Roman" w:cs="Times New Roman"/>
          <w:sz w:val="24"/>
          <w:szCs w:val="24"/>
        </w:rPr>
        <w:t>ing coefficient models already involve</w:t>
      </w:r>
      <w:r w:rsidR="00B521D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This could perhaps be accomplished by simultaneously estimating parameters for the “empirical orthogonal function” models that are typically used to calculate oceanographic indices and the SDMs that is used to estimate species distributions.  </w:t>
      </w:r>
    </w:p>
    <w:p w14:paraId="56694532" w14:textId="4404974B" w:rsidR="00823620" w:rsidRPr="00E8774D" w:rsidRDefault="00823620"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particular, a spatially-varying coefficient for regional oceanographic conditions allows analysts to assimilate both fine-scale and regional covariates in a single modelling framework, rather than building separate models for each resolution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{"citationID":"kuvDTTX8","properties":{"formattedCitation":"(e.g., Smart et al., 2012)","plainCitation":"(e.g., Smart et al., 2012)","noteIndex":0},"citationItems":[{"id":5107,"uris":["http://zotero.org/users/251206/items/XMUDVE5F"],"uri":["http://zotero.org/users/251206/items/XMUDVE5F"],"itemData":{"id":5107,"type":"article-journal","title":"Influence of environment on walleye pollock eggs, larvae, and juveniles in the southeastern Bering Sea","container-title":"Deep Sea Research Part II: Topical Studies in Oceanography","collection-title":"Understanding Ecosystem Processes in the Eastern Bering Sea","page":"196-207","volume":"65-70","source":"ScienceDirect","abstract":"We examined the influence of environmental conditions on walleye pollock (Theragra chalcogramma) early life history in discrete stages at two ecological scales using a 17-year time series from the southeastern Bering Sea. Generalized additive models (GAMs) were used to quantify relationships between walleye pollock stages (eggs, yolksac larvae, preflexion larvae, late larvae, and juveniles), the fine-resolution environment (temperature, wind speed, salinity, and copepod concentration), and the broad-resolution environment (annual spawning stock biomass, temperature, zooplankton biomass, and wind mixing). Early stages (eggs, yolksac larvae, and preflexion larvae) were associated with high spawning stock biomass, while late stages (late larvae and juveniles) were not associated with spawning stock biomass. The influence of temperature increased with ontogeny: high egg abundance was associated with temperatures from −2 to 7°C and negative annual temperature anomalies and high juvenile abundance was associated with temperatures from 4 to 12°C and positive temperature anomalies. Winds enhanced the transport of early stages from spawning locations to shallower sampling depths, but did not affect feeding stages (preflexion larvae, late larvae, and juveniles) in a manner consistent with the encounter-turbulence hypothesis. Feeding stages were positively associated with localized copepod concentrations but not zooplankton biomass anomaly, suggesting that the localized measurements of potential prey is a better indicator compared to broad-scale conditions measured in areas where these stages do not necessarily occur. Broad-resolution covariates, however, explained a greater portion of the overall variation than did fine-resolution models. Of the environmental conditions examined, temperature explained more variation in abundance of walleye pollock early life stages than any other covariate. Temperature is likely a major driving force structuring variability in populations of walleye pollock in their first year of life, acting directly upon them and indirectly upon their physical habitat and prey community.","DOI":"10.1016/j.dsr2.2012.02.018","ISSN":"0967-0645","journalAbbreviation":"Deep Sea Research Part II: Topical Studies in Oceanography","author":[{"family":"Smart","given":"Tracey I."},{"family":"Duffy-Anderson","given":"Janet T."},{"family":"Horne","given":"John K."},{"family":"Farley","given":"Edward V."},{"family":"Wilson","given":"Christopher D."},{"family":"Napp","given":"Jeffrey M."}],"issued":{"date-parts":[["2012",6,15]]}},"prefix":"e.g., "}],"schema":"https://github.com/citation-style-language/schema/raw/master/csl-citation.json"} </w:instrText>
      </w:r>
      <w:r>
        <w:rPr>
          <w:rFonts w:ascii="Times New Roman" w:hAnsi="Times New Roman" w:cs="Times New Roman"/>
          <w:sz w:val="24"/>
          <w:szCs w:val="24"/>
        </w:rPr>
        <w:fldChar w:fldCharType="separate"/>
      </w:r>
      <w:r w:rsidRPr="00D609C7">
        <w:rPr>
          <w:rFonts w:ascii="Times New Roman" w:hAnsi="Times New Roman" w:cs="Times New Roman"/>
          <w:sz w:val="24"/>
        </w:rPr>
        <w:t>(e.g., Smart et al., 2012)</w:t>
      </w:r>
      <w:r>
        <w:rPr>
          <w:rFonts w:ascii="Times New Roman" w:hAnsi="Times New Roman" w:cs="Times New Roman"/>
          <w:sz w:val="24"/>
          <w:szCs w:val="24"/>
        </w:rPr>
        <w:fldChar w:fldCharType="end"/>
      </w:r>
      <w:r>
        <w:rPr>
          <w:rFonts w:ascii="Times New Roman" w:hAnsi="Times New Roman" w:cs="Times New Roman"/>
          <w:sz w:val="24"/>
          <w:szCs w:val="24"/>
        </w:rPr>
        <w:t xml:space="preserve">.  Alternatively, previous studies have included regional covariates while estimating a separate spatial distribution for “warm” and “cool” years in the Eastern Bering Sea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{"citationID":"UVIPzg4x","properties":{"formattedCitation":"(e.g., Hollowed et al., 2012)","plainCitation":"(e.g., Hollowed et al., 2012)","noteIndex":0},"citationItems":[{"id":4657,"uris":["http://zotero.org/users/251206/items/XHT4QR5C"],"uri":["http://zotero.org/users/251206/items/XHT4QR5C"],"itemData":{"id":4657,"type":"article-journal","title":"Effects of climate variations on pelagic ocean habitats and their role in structuring forage fish distributions in the Bering Sea","container-title":"Deep Sea Research Part II: Topical Studies in Oceanography","collection-title":"Understanding Ecosystem Processes in the Eastern Bering Sea","page":"230-250","volume":"65-70","source":"ScienceDirect","abstract":"This paper examines how climate variations influence the boundaries of suitable ocean habitat, and how these changes affect the spatial distribution and interactions between forage fishes in the southeastern Bering Sea shelf. The study focuses on the summer distributions of forage fish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fish to climate-induced shifts in ocean habitats. Habitat boundaries were defined using key explanatory variables including depth, bottom temperature and surface temperature, using general additive models. Bathymetry, bottom temperature and frontal zones formed boundaries between different groups of forage fishes. Age-0 pollock were dispersed throughout the middle domain (50–100m depth) in well-stratified regions. In cold years the highest densities of age-0s were found in the southern regions of the middle domain waters in waters warmer than approximately 1°C. In contrast, age-1 pollock were observed on the sea floor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years.","DOI":"10.1016/j.dsr2.2012.02.008","ISSN":"0967-0645","journalAbbreviation":"Deep Sea Research Part II: Topical Studies in Oceanography","author":[{"family":"Hollowed","given":"Anne B."},{"family":"Barbeaux","given":"Steven J."},{"family":"Cokelet","given":"Edward D."},{"family":"Farley","given":"Ed"},{"family":"Kotwicki","given":"Stan"},{"family":"Ressler","given":"Patrick H."},{"family":"Spital","given":"Cliff"},{"family":"Wilson","given":"Christopher D."}],"issued":{"date-parts":[["2012",6,15]]}},"prefix":"e.g., "}],"schema":"https://github.com/citation-style-language/schema/raw/master/csl-citation.json"} </w:instrText>
      </w:r>
      <w:r>
        <w:rPr>
          <w:rFonts w:ascii="Times New Roman" w:hAnsi="Times New Roman" w:cs="Times New Roman"/>
          <w:sz w:val="24"/>
          <w:szCs w:val="24"/>
        </w:rPr>
        <w:fldChar w:fldCharType="separate"/>
      </w:r>
      <w:r w:rsidRPr="00301545">
        <w:rPr>
          <w:rFonts w:ascii="Times New Roman" w:hAnsi="Times New Roman" w:cs="Times New Roman"/>
          <w:sz w:val="24"/>
        </w:rPr>
        <w:t>(e.g., Hollowed et al., 2012)</w:t>
      </w:r>
      <w:r>
        <w:rPr>
          <w:rFonts w:ascii="Times New Roman" w:hAnsi="Times New Roman" w:cs="Times New Roman"/>
          <w:sz w:val="24"/>
          <w:szCs w:val="24"/>
        </w:rPr>
        <w:fldChar w:fldCharType="end"/>
      </w:r>
      <w:r>
        <w:rPr>
          <w:rFonts w:ascii="Times New Roman" w:hAnsi="Times New Roman" w:cs="Times New Roman"/>
          <w:sz w:val="24"/>
          <w:szCs w:val="24"/>
        </w:rPr>
        <w:t xml:space="preserve">, while the SVC model avoids classifying regional conditions into a factor prior to analysis.  </w:t>
      </w:r>
      <w:r w:rsidR="00513465">
        <w:rPr>
          <w:rFonts w:ascii="Times New Roman" w:hAnsi="Times New Roman" w:cs="Times New Roman"/>
          <w:sz w:val="24"/>
          <w:szCs w:val="24"/>
        </w:rPr>
        <w:t xml:space="preserve">In the Eastern </w:t>
      </w:r>
      <w:r w:rsidR="00513465">
        <w:rPr>
          <w:rFonts w:ascii="Times New Roman" w:hAnsi="Times New Roman" w:cs="Times New Roman"/>
          <w:sz w:val="24"/>
          <w:szCs w:val="24"/>
        </w:rPr>
        <w:lastRenderedPageBreak/>
        <w:t xml:space="preserve">Bering Sea, cold-pool extent is associated with many processes that might be associated mechanistically with habitat selection and resulting fish distribution including:  plankton prey densities </w:t>
      </w:r>
      <w:r w:rsidR="00513465">
        <w:rPr>
          <w:rFonts w:ascii="Times New Roman" w:hAnsi="Times New Roman" w:cs="Times New Roman"/>
          <w:sz w:val="24"/>
          <w:szCs w:val="24"/>
        </w:rPr>
        <w:fldChar w:fldCharType="begin"/>
      </w:r>
      <w:r w:rsidR="00513465">
        <w:rPr>
          <w:rFonts w:ascii="Times New Roman" w:hAnsi="Times New Roman" w:cs="Times New Roman"/>
          <w:sz w:val="24"/>
          <w:szCs w:val="24"/>
        </w:rPr>
        <w:instrText xml:space="preserve"> ADDIN ZOTERO_ITEM CSL_CITATION {"citationID":"F30uujjj","properties":{"formattedCitation":"(Stabeno et al., 2012)","plainCitation":"(Stabeno et al., 2012)","noteIndex":0},"citationItems":[{"id":1847,"uris":["http://zotero.org/users/251206/items/HCJFRCIC"],"uri":["http://zotero.org/users/251206/items/HCJFRCIC"],"itemData":{"id":1847,"type":"article-journal","title":"Comparison of warm and cold years on the southeastern Bering Sea shelf and some implications for the ecosystem","container-title":"Deep Sea Research Part II: Topical Studies in Oceanography","collection-title":"Understanding Ecosystem Processes in the Eastern Bering Sea","page":"31-45","volume":"65–70","source":"ScienceDirect","abstract":"The southeastern, middle shelf of the Bering Sea has exhibited extreme variability in sea ice extent, temperature, and the distribution and abundance of species at multiple trophic levels over the past four decades. From 1972–2000, there was high interannual variability of areal extent of sea ice during spring (March–April). In 2000, this shifted to a 5-year (2001–2005) period of low ice extent during spring, which transitioned to a 4-year (2007–2010) period of extensive sea ice. High (low) areal extent of sea ice in spring was associated with cold (warm) water column temperatures for the following 6–7 months. The ocean currents also differed between warm and cold years. During cold years, the monthly-mean currents over the shelf were largely westward, while in warm years the direction of currents was more variable, with northward flow during December–February and relatively weak flow during the remainder of the year. The types and abundance of zooplankton differed sharply between warm and cold years. This was especially true during the prolonged warm period (2001–2005) and cold period (2007–2010), and was less evident during the years of high interannual variability. During the warm period, there was a lack of large copepods and euphausiids over the shelf; however, their populations rebounded during cold period. Small crustacean zooplankton taxa did not appear to vary between and warm and cold years. For both walleye pollock and Pacific cod, year-class strength (recruitment) was low during the prolonged warm period, but improved during the following cold period. Year-class strength did not appear to vary as a function of warm and cold years during the period of high year-to-year variability. Also, recruitment of arrowtooth flounder (a predator of pollock and cod) did not appear influenced by the warm or cold years. Finally, the distribution and relative abundance of fin whales appeared to differ in warm and cold years, with fewer whales on the southeastern, middle shelf during warm years.","DOI":"10.1016/j.dsr2.2012.02.020","ISSN":"0967-0645","journalAbbreviation":"Deep Sea Research Part II: Topical Studies in Oceanography","author":[{"family":"Stabeno","given":"Phyllis J."},{"family":"Kachel","given":"Nancy B."},{"family":"Moore","given":"Sue E."},{"family":"Napp","given":"Jeffrey M."},{"family":"Sigler","given":"Michael"},{"family":"Yamaguchi","given":"Atsushi"},{"family":"Zerbini","given":"Alexandre N."}],"issued":{"date-parts":[["2012",6,15]]}}}],"schema":"https://github.com/citation-style-language/schema/raw/master/csl-citation.json"} </w:instrText>
      </w:r>
      <w:r w:rsidR="00513465">
        <w:rPr>
          <w:rFonts w:ascii="Times New Roman" w:hAnsi="Times New Roman" w:cs="Times New Roman"/>
          <w:sz w:val="24"/>
          <w:szCs w:val="24"/>
        </w:rPr>
        <w:fldChar w:fldCharType="separate"/>
      </w:r>
      <w:r w:rsidR="00513465" w:rsidRPr="00513465">
        <w:rPr>
          <w:rFonts w:ascii="Times New Roman" w:hAnsi="Times New Roman" w:cs="Times New Roman"/>
          <w:sz w:val="24"/>
        </w:rPr>
        <w:t>(Stabeno et al., 2012)</w:t>
      </w:r>
      <w:r w:rsidR="00513465">
        <w:rPr>
          <w:rFonts w:ascii="Times New Roman" w:hAnsi="Times New Roman" w:cs="Times New Roman"/>
          <w:sz w:val="24"/>
          <w:szCs w:val="24"/>
        </w:rPr>
        <w:fldChar w:fldCharType="end"/>
      </w:r>
      <w:r w:rsidR="00513465">
        <w:rPr>
          <w:rFonts w:ascii="Times New Roman" w:hAnsi="Times New Roman" w:cs="Times New Roman"/>
          <w:sz w:val="24"/>
          <w:szCs w:val="24"/>
        </w:rPr>
        <w:t xml:space="preserve">, dominant modes of physical transport </w:t>
      </w:r>
      <w:r w:rsidR="00513465">
        <w:rPr>
          <w:rFonts w:ascii="Times New Roman" w:hAnsi="Times New Roman" w:cs="Times New Roman"/>
          <w:sz w:val="24"/>
          <w:szCs w:val="24"/>
        </w:rPr>
        <w:fldChar w:fldCharType="begin"/>
      </w:r>
      <w:r w:rsidR="00513465">
        <w:rPr>
          <w:rFonts w:ascii="Times New Roman" w:hAnsi="Times New Roman" w:cs="Times New Roman"/>
          <w:sz w:val="24"/>
          <w:szCs w:val="24"/>
        </w:rPr>
        <w:instrText xml:space="preserve"> ADDIN ZOTERO_ITEM CSL_CITATION {"citationID":"bWXWuxHI","properties":{"formattedCitation":"(Zhang et al., 2012)","plainCitation":"(Zhang et al., 2012)","noteIndex":0},"citationItems":[{"id":5125,"uris":["http://zotero.org/users/251206/items/6KLSDS6T"],"uri":["http://zotero.org/users/251206/items/6KLSDS6T"],"itemData":{"id":5125,"type":"article-journal","title":"Towards seasonal prediction of the distribution and extent of cold bottom waters on the Bering Sea shelf","container-title":"Deep Sea Research Part II: Topical Studies in Oceanography","collection-title":"Understanding Ecosystem Processes in the Eastern Bering Sea","page":"58-71","volume":"65-70","source":"ScienceDirect","abstract":"A coupled sea ice–ocean model, combined with observational and reanalysis data, is used to explore the seasonal predictability of the distribution and extent of cold bottom waters on the Bering Sea shelf through numerical simulations or statistical analyses. The model captures the spatiotemporal variability of trawl survey observations of bottom water temperature over the period 1970–2009. Of the various winter air–ice–ocean parameters considered, the interannual variability of the winter on-shelf heat transport across the Bering Sea shelf break, dominated by changes in ocean flow, is most highly correlated with the interannual variability of the bottom layer properties (bottom temperature, and the distribution and extent of cold bottom waters) in spring–summer. This suggests that the winter heat transport may be the best seasonal predictor of the bottom layer properties. To varying degrees, the winter mean simulated sea surface temperature (SST), National Centers for Environmental Prediction/National Center for Atmospheric Research (NCEP/NCAR) reanalysis surface air temperature (SAT), simulated and observed sea ice extent, the Bering Strait outflow, and the Pacific Decadal Oscillation are also significantly correlated with the spring–summer bottom layer properties. This suggests that, with varying skill, they may also be useful for statistical seasonal predictions. Good agreement between observations and results of the coupled ice–ocean model suggests also the possibility of numerical seasonal predictions of the bottom layer properties. The simulated field of bottom layer temperature on the Bering Sea shelf on 31 May is a good predictor of the distribution and extent of cold bottom waters throughout late spring and summer. These variables, both in the model and in reality, do not change significantly from June to October, primarily owing to increased upper ocean stratification in late spring due to ice melt and surface warming, which tends to isolate and preserve the cold bottom waters on the shelf. However, the ocean stratification, and hence the isolation effect, is stronger in cold years than in warm years because more ice is available for melting in spring–summer.","DOI":"10.1016/j.dsr2.2012.02.023","ISSN":"0967-0645","journalAbbreviation":"Deep Sea Research Part II: Topical Studies in Oceanography","author":[{"family":"Zhang","given":"Jinlun"},{"family":"Woodgate","given":"Rebecca"},{"family":"Mangiameli","given":"Sarah"}],"issued":{"date-parts":[["2012",6,15]]}}}],"schema":"https://github.com/citation-style-language/schema/raw/master/csl-citation.json"} </w:instrText>
      </w:r>
      <w:r w:rsidR="00513465">
        <w:rPr>
          <w:rFonts w:ascii="Times New Roman" w:hAnsi="Times New Roman" w:cs="Times New Roman"/>
          <w:sz w:val="24"/>
          <w:szCs w:val="24"/>
        </w:rPr>
        <w:fldChar w:fldCharType="separate"/>
      </w:r>
      <w:r w:rsidR="00513465" w:rsidRPr="00513465">
        <w:rPr>
          <w:rFonts w:ascii="Times New Roman" w:hAnsi="Times New Roman" w:cs="Times New Roman"/>
          <w:sz w:val="24"/>
        </w:rPr>
        <w:t>(Zhang et al., 2012)</w:t>
      </w:r>
      <w:r w:rsidR="00513465">
        <w:rPr>
          <w:rFonts w:ascii="Times New Roman" w:hAnsi="Times New Roman" w:cs="Times New Roman"/>
          <w:sz w:val="24"/>
          <w:szCs w:val="24"/>
        </w:rPr>
        <w:fldChar w:fldCharType="end"/>
      </w:r>
      <w:r w:rsidR="00513465">
        <w:rPr>
          <w:rFonts w:ascii="Times New Roman" w:hAnsi="Times New Roman" w:cs="Times New Roman"/>
          <w:sz w:val="24"/>
          <w:szCs w:val="24"/>
        </w:rPr>
        <w:t xml:space="preserve">, and partitioning of available primary productivity between pelagic and demersal communities </w:t>
      </w:r>
      <w:r w:rsidR="00513465">
        <w:rPr>
          <w:rFonts w:ascii="Times New Roman" w:hAnsi="Times New Roman" w:cs="Times New Roman"/>
          <w:sz w:val="24"/>
          <w:szCs w:val="24"/>
        </w:rPr>
        <w:fldChar w:fldCharType="begin"/>
      </w:r>
      <w:r w:rsidR="00513465">
        <w:rPr>
          <w:rFonts w:ascii="Times New Roman" w:hAnsi="Times New Roman" w:cs="Times New Roman"/>
          <w:sz w:val="24"/>
          <w:szCs w:val="24"/>
        </w:rPr>
        <w:instrText xml:space="preserve"> ADDIN ZOTERO_ITEM CSL_CITATION {"citationID":"SWijOqNG","properties":{"formattedCitation":"(Hunt et al., 2011)","plainCitation":"(Hunt et al., 2011)","noteIndex":0},"citationItems":[{"id":4853,"uris":["http://zotero.org/users/251206/items/QQIX3WVA"],"uri":["http://zotero.org/users/251206/items/QQIX3WVA"],"itemData":{"id":4853,"type":"article-journal","title":"Climate impacts on eastern Bering Sea foodwebs: a synthesis of new data and an assessment of the Oscillating Control Hypothesis","container-title":"ICES Journal of Marine Science","page":"1230-1243","volume":"68","issue":"6","source":"academic.oup.com","abstract":"Abstract.  Hunt, G. L., Coyle, K. O., Eisner, L. B., Farley, E. V., Heintz, R. A., Mueter, F., Napp, J. M., Overland, J. E., Ressler, P. H., Salo, S., and Stabe","DOI":"10.1093/icesjms/fsr036","ISSN":"1054-3139","shortTitle":"Climate impacts on eastern Bering Sea foodwebs","journalAbbreviation":"ICES J Mar Sci","language":"en","author":[{"family":"Hunt","given":"George L."},{"family":"Coyle","given":"Kenneth O."},{"family":"Eisner","given":"Lisa B."},{"family":"Farley","given":"Edward V."},{"family":"Heintz","given":"Ron A."},{"family":"Mueter","given":"Franz"},{"family":"Napp","given":"Jeffrey M."},{"family":"Overland","given":"James E."},{"family":"Ressler","given":"Patrick H."},{"family":"Salo","given":"Sigrid"},{"family":"Stabeno","given":"Phyllis J."}],"issued":{"date-parts":[["2011",7,1]]}}}],"schema":"https://github.com/citation-style-language/schema/raw/master/csl-citation.json"} </w:instrText>
      </w:r>
      <w:r w:rsidR="00513465">
        <w:rPr>
          <w:rFonts w:ascii="Times New Roman" w:hAnsi="Times New Roman" w:cs="Times New Roman"/>
          <w:sz w:val="24"/>
          <w:szCs w:val="24"/>
        </w:rPr>
        <w:fldChar w:fldCharType="separate"/>
      </w:r>
      <w:r w:rsidR="00513465" w:rsidRPr="00513465">
        <w:rPr>
          <w:rFonts w:ascii="Times New Roman" w:hAnsi="Times New Roman" w:cs="Times New Roman"/>
          <w:sz w:val="24"/>
        </w:rPr>
        <w:t>(Hunt et al., 2011)</w:t>
      </w:r>
      <w:r w:rsidR="00513465">
        <w:rPr>
          <w:rFonts w:ascii="Times New Roman" w:hAnsi="Times New Roman" w:cs="Times New Roman"/>
          <w:sz w:val="24"/>
          <w:szCs w:val="24"/>
        </w:rPr>
        <w:fldChar w:fldCharType="end"/>
      </w:r>
      <w:r w:rsidR="00513465">
        <w:rPr>
          <w:rFonts w:ascii="Times New Roman" w:hAnsi="Times New Roman" w:cs="Times New Roman"/>
          <w:sz w:val="24"/>
          <w:szCs w:val="24"/>
        </w:rPr>
        <w:t xml:space="preserve">.  </w:t>
      </w:r>
      <w:r w:rsidR="00785798">
        <w:rPr>
          <w:rFonts w:ascii="Times New Roman" w:hAnsi="Times New Roman" w:cs="Times New Roman"/>
          <w:sz w:val="24"/>
          <w:szCs w:val="24"/>
        </w:rPr>
        <w:t xml:space="preserve">The SVC allows these many upstream and downstream processes affecting distribution to be summarized in an annual index that is used to hindcast and forecast spatial patterns in community structure.  </w:t>
      </w:r>
    </w:p>
    <w:p w14:paraId="7E85ACDC" w14:textId="1F56FA4C" w:rsidR="0006789E" w:rsidRPr="0006789E" w:rsidRDefault="00B46FB7"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6508EC">
        <w:rPr>
          <w:rFonts w:ascii="Times New Roman" w:hAnsi="Times New Roman" w:cs="Times New Roman"/>
          <w:sz w:val="24"/>
          <w:szCs w:val="24"/>
        </w:rPr>
        <w:t xml:space="preserve">Most importantly, </w:t>
      </w:r>
      <w:r w:rsidR="00212101">
        <w:rPr>
          <w:rFonts w:ascii="Times New Roman" w:hAnsi="Times New Roman" w:cs="Times New Roman"/>
          <w:sz w:val="24"/>
          <w:szCs w:val="24"/>
        </w:rPr>
        <w:t xml:space="preserve">I </w:t>
      </w:r>
      <w:r w:rsidR="006508EC">
        <w:rPr>
          <w:rFonts w:ascii="Times New Roman" w:hAnsi="Times New Roman" w:cs="Times New Roman"/>
          <w:sz w:val="24"/>
          <w:szCs w:val="24"/>
        </w:rPr>
        <w:t xml:space="preserve">see </w:t>
      </w:r>
      <w:r w:rsidR="00D509D9">
        <w:rPr>
          <w:rFonts w:ascii="Times New Roman" w:hAnsi="Times New Roman" w:cs="Times New Roman"/>
          <w:sz w:val="24"/>
          <w:szCs w:val="24"/>
        </w:rPr>
        <w:t>spatially vary</w:t>
      </w:r>
      <w:r w:rsidR="00D251B4">
        <w:rPr>
          <w:rFonts w:ascii="Times New Roman" w:hAnsi="Times New Roman" w:cs="Times New Roman"/>
          <w:sz w:val="24"/>
          <w:szCs w:val="24"/>
        </w:rPr>
        <w:t xml:space="preserve">ing coefficients for oceanographic indices as an important programmatic tool to translate climatological research from physical oceanography into the distribution models that are used for marine spatial planning </w:t>
      </w:r>
      <w:r w:rsidR="00D251B4">
        <w:rPr>
          <w:rFonts w:ascii="Times New Roman" w:hAnsi="Times New Roman" w:cs="Times New Roman"/>
          <w:sz w:val="24"/>
          <w:szCs w:val="24"/>
        </w:rPr>
        <w:fldChar w:fldCharType="begin"/>
      </w:r>
      <w:r w:rsidR="00D251B4">
        <w:rPr>
          <w:rFonts w:ascii="Times New Roman" w:hAnsi="Times New Roman" w:cs="Times New Roman"/>
          <w:sz w:val="24"/>
          <w:szCs w:val="24"/>
        </w:rPr>
        <w:instrText xml:space="preserve"> ADDIN ZOTERO_ITEM CSL_CITATION {"citationID":"ku1iyfMe","properties":{"formattedCitation":"(Rassweiler et al., 2014)","plainCitation":"(Rassweiler et al., 2014)","noteIndex":0},"citationItems":[{"id":1416,"uris":["http://zotero.org/users/251206/items/I4S68J7W"],"uri":["http://zotero.org/users/251206/items/I4S68J7W"],"itemData":{"id":1416,"type":"article-journal","title":"Integrating scientific guidance into marine spatial planning","container-title":"Proceedings of the Royal Society B: Biological Sciences","page":"20132252","volume":"281","issue":"1781","source":"Google Scholar","author":[{"family":"Rassweiler","given":"Andrew"},{"family":"Costello","given":"Christopher"},{"family":"Hilborn","given":"Ray"},{"family":"Siegel","given":"David A."}],"issued":{"date-parts":[["2014"]]}}}],"schema":"https://github.com/citation-style-language/schema/raw/master/csl-citation.json"} </w:instrText>
      </w:r>
      <w:r w:rsidR="00D251B4">
        <w:rPr>
          <w:rFonts w:ascii="Times New Roman" w:hAnsi="Times New Roman" w:cs="Times New Roman"/>
          <w:sz w:val="24"/>
          <w:szCs w:val="24"/>
        </w:rPr>
        <w:fldChar w:fldCharType="separate"/>
      </w:r>
      <w:r w:rsidR="00D251B4" w:rsidRPr="00D251B4">
        <w:rPr>
          <w:rFonts w:ascii="Times New Roman" w:hAnsi="Times New Roman" w:cs="Times New Roman"/>
          <w:sz w:val="24"/>
        </w:rPr>
        <w:t>(Rassweiler et al., 2014)</w:t>
      </w:r>
      <w:r w:rsidR="00D251B4">
        <w:rPr>
          <w:rFonts w:ascii="Times New Roman" w:hAnsi="Times New Roman" w:cs="Times New Roman"/>
          <w:sz w:val="24"/>
          <w:szCs w:val="24"/>
        </w:rPr>
        <w:fldChar w:fldCharType="end"/>
      </w:r>
      <w:r w:rsidR="00D251B4">
        <w:rPr>
          <w:rFonts w:ascii="Times New Roman" w:hAnsi="Times New Roman" w:cs="Times New Roman"/>
          <w:sz w:val="24"/>
          <w:szCs w:val="24"/>
        </w:rPr>
        <w:t>, essential fish habitat</w:t>
      </w:r>
      <w:r w:rsidR="00E31CCE">
        <w:rPr>
          <w:rFonts w:ascii="Times New Roman" w:hAnsi="Times New Roman" w:cs="Times New Roman"/>
          <w:sz w:val="24"/>
          <w:szCs w:val="24"/>
        </w:rPr>
        <w:t xml:space="preserve"> </w:t>
      </w:r>
      <w:r w:rsidR="00E31CCE">
        <w:rPr>
          <w:rFonts w:ascii="Times New Roman" w:hAnsi="Times New Roman" w:cs="Times New Roman"/>
          <w:sz w:val="24"/>
          <w:szCs w:val="24"/>
        </w:rPr>
        <w:fldChar w:fldCharType="begin"/>
      </w:r>
      <w:r w:rsidR="00E31CCE">
        <w:rPr>
          <w:rFonts w:ascii="Times New Roman" w:hAnsi="Times New Roman" w:cs="Times New Roman"/>
          <w:sz w:val="24"/>
          <w:szCs w:val="24"/>
        </w:rPr>
        <w:instrText xml:space="preserve"> ADDIN ZOTERO_ITEM CSL_CITATION {"citationID":"wz2SAg8m","properties":{"formattedCitation":"(Rooney et al., 2018)","plainCitation":"(Rooney et al., 2018)","noteIndex":0},"citationItems":[{"id":5102,"uris":["http://zotero.org/users/251206/items/CF82PDT5"],"uri":["http://zotero.org/users/251206/items/CF82PDT5"],"itemData":{"id":5102,"type":"article-journal","title":"Model-based essential fish habitat definitions for Gulf of Alaska groundfish species","source":"Google Scholar","author":[{"family":"Rooney","given":"Sean Charles"},{"family":"Rooper","given":"Christopher N."},{"family":"Laman","given":"Edward A."},{"family":"Turner","given":"Kali Alison"},{"family":"Cooper","given":"Daniel W."},{"family":"Zimmermann","given":"Mark"}],"issued":{"date-parts":[["2018"]]}}}],"schema":"https://github.com/citation-style-language/schema/raw/master/csl-citation.json"} </w:instrText>
      </w:r>
      <w:r w:rsidR="00E31CCE">
        <w:rPr>
          <w:rFonts w:ascii="Times New Roman" w:hAnsi="Times New Roman" w:cs="Times New Roman"/>
          <w:sz w:val="24"/>
          <w:szCs w:val="24"/>
        </w:rPr>
        <w:fldChar w:fldCharType="separate"/>
      </w:r>
      <w:r w:rsidR="00E31CCE" w:rsidRPr="00E31CCE">
        <w:rPr>
          <w:rFonts w:ascii="Times New Roman" w:hAnsi="Times New Roman" w:cs="Times New Roman"/>
          <w:sz w:val="24"/>
        </w:rPr>
        <w:t>(Rooney et al., 2018)</w:t>
      </w:r>
      <w:r w:rsidR="00E31CCE">
        <w:rPr>
          <w:rFonts w:ascii="Times New Roman" w:hAnsi="Times New Roman" w:cs="Times New Roman"/>
          <w:sz w:val="24"/>
          <w:szCs w:val="24"/>
        </w:rPr>
        <w:fldChar w:fldCharType="end"/>
      </w:r>
      <w:r w:rsidR="00D251B4">
        <w:rPr>
          <w:rFonts w:ascii="Times New Roman" w:hAnsi="Times New Roman" w:cs="Times New Roman"/>
          <w:sz w:val="24"/>
          <w:szCs w:val="24"/>
        </w:rPr>
        <w:t xml:space="preserve">, and ecosystem based management </w:t>
      </w:r>
      <w:r w:rsidR="00D251B4">
        <w:rPr>
          <w:rFonts w:ascii="Times New Roman" w:hAnsi="Times New Roman" w:cs="Times New Roman"/>
          <w:sz w:val="24"/>
          <w:szCs w:val="24"/>
        </w:rPr>
        <w:fldChar w:fldCharType="begin"/>
      </w:r>
      <w:r w:rsidR="00D251B4">
        <w:rPr>
          <w:rFonts w:ascii="Times New Roman" w:hAnsi="Times New Roman" w:cs="Times New Roman"/>
          <w:sz w:val="24"/>
          <w:szCs w:val="24"/>
        </w:rPr>
        <w:instrText xml:space="preserve"> ADDIN ZOTERO_ITEM CSL_CITATION {"citationID":"l0EjrOJ8","properties":{"formattedCitation":"(Link and Browman, 2014)","plainCitation":"(Link and Browman, 2014)","noteIndex":0},"citationItems":[{"id":4692,"uris":["http://zotero.org/users/251206/items/96Q3ZUEX"],"uri":["http://zotero.org/users/251206/items/96Q3ZUEX"],"itemData":{"id":4692,"type":"article-journal","title":"Integrating what? Levels of marine ecosystem-based assessment and management","container-title":"ICES Journal of Marine Science","page":"1170-1173","volume":"71","issue":"5","source":"academic.oup.com","abstract":"Integrated assessment requires examination of factors across biological hierarchies, taxonomic groups, ocean-use sectors, management objectives, and scientific","DOI":"10.1093/icesjms/fsu026","ISSN":"1054-3139","shortTitle":"Integrating what?","journalAbbreviation":"ICES J Mar Sci","language":"en","author":[{"family":"Link","given":"Jason S."},{"family":"Browman","given":"Howard I."}],"issued":{"date-parts":[["2014",8,1]]}}}],"schema":"https://github.com/citation-style-language/schema/raw/master/csl-citation.json"} </w:instrText>
      </w:r>
      <w:r w:rsidR="00D251B4">
        <w:rPr>
          <w:rFonts w:ascii="Times New Roman" w:hAnsi="Times New Roman" w:cs="Times New Roman"/>
          <w:sz w:val="24"/>
          <w:szCs w:val="24"/>
        </w:rPr>
        <w:fldChar w:fldCharType="separate"/>
      </w:r>
      <w:r w:rsidR="00D251B4" w:rsidRPr="00D251B4">
        <w:rPr>
          <w:rFonts w:ascii="Times New Roman" w:hAnsi="Times New Roman" w:cs="Times New Roman"/>
          <w:sz w:val="24"/>
        </w:rPr>
        <w:t>(Link and Browman, 2014)</w:t>
      </w:r>
      <w:r w:rsidR="00D251B4">
        <w:rPr>
          <w:rFonts w:ascii="Times New Roman" w:hAnsi="Times New Roman" w:cs="Times New Roman"/>
          <w:sz w:val="24"/>
          <w:szCs w:val="24"/>
        </w:rPr>
        <w:fldChar w:fldCharType="end"/>
      </w:r>
      <w:r w:rsidR="00D251B4">
        <w:rPr>
          <w:rFonts w:ascii="Times New Roman" w:hAnsi="Times New Roman" w:cs="Times New Roman"/>
          <w:sz w:val="24"/>
          <w:szCs w:val="24"/>
        </w:rPr>
        <w:t xml:space="preserve">.  Methods exist for translating indices like the Pacific Decadal Oscillation into stock assessment models used for defining harvest limits </w:t>
      </w:r>
      <w:r w:rsidR="00D251B4">
        <w:rPr>
          <w:rFonts w:ascii="Times New Roman" w:hAnsi="Times New Roman" w:cs="Times New Roman"/>
          <w:sz w:val="24"/>
          <w:szCs w:val="24"/>
        </w:rPr>
        <w:fldChar w:fldCharType="begin"/>
      </w:r>
      <w:r w:rsidR="00D251B4">
        <w:rPr>
          <w:rFonts w:ascii="Times New Roman" w:hAnsi="Times New Roman" w:cs="Times New Roman"/>
          <w:sz w:val="24"/>
          <w:szCs w:val="24"/>
        </w:rPr>
        <w:instrText xml:space="preserve"> ADDIN ZOTERO_ITEM CSL_CITATION {"citationID":"OPOMJzXA","properties":{"formattedCitation":"(Schirripa et al., 2009)","plainCitation":"(Schirripa et al., 2009)","noteIndex":0},"citationItems":[{"id":1325,"uris":["http://zotero.org/users/251206/items/BD85ECAD"],"uri":["http://zotero.org/users/251206/items/BD85ECAD"],"itemData":{"id":1325,"type":"article-journal","title":"Testing different methods of incorporating climate data into the assessment of US West Coast sablefish","container-title":"ICES Journal of Marine Science","page":"1605-1613","volume":"66","issue":"7","source":"Google Scholar","journalAbbreviation":"ICES J. Mar. Sci.","author":[{"family":"Schirripa","given":"M. J"},{"family":"Goodyear","given":"C. P"},{"family":"Methot","given":"R. M"}],"issued":{"date-parts":[["2009"]]}}}],"schema":"https://github.com/citation-style-language/schema/raw/master/csl-citation.json"} </w:instrText>
      </w:r>
      <w:r w:rsidR="00D251B4">
        <w:rPr>
          <w:rFonts w:ascii="Times New Roman" w:hAnsi="Times New Roman" w:cs="Times New Roman"/>
          <w:sz w:val="24"/>
          <w:szCs w:val="24"/>
        </w:rPr>
        <w:fldChar w:fldCharType="separate"/>
      </w:r>
      <w:r w:rsidR="00D251B4" w:rsidRPr="00D251B4">
        <w:rPr>
          <w:rFonts w:ascii="Times New Roman" w:hAnsi="Times New Roman" w:cs="Times New Roman"/>
          <w:sz w:val="24"/>
        </w:rPr>
        <w:t>(Schirripa et al., 2009)</w:t>
      </w:r>
      <w:r w:rsidR="00D251B4">
        <w:rPr>
          <w:rFonts w:ascii="Times New Roman" w:hAnsi="Times New Roman" w:cs="Times New Roman"/>
          <w:sz w:val="24"/>
          <w:szCs w:val="24"/>
        </w:rPr>
        <w:fldChar w:fldCharType="end"/>
      </w:r>
      <w:r w:rsidR="00D251B4">
        <w:rPr>
          <w:rFonts w:ascii="Times New Roman" w:hAnsi="Times New Roman" w:cs="Times New Roman"/>
          <w:sz w:val="24"/>
          <w:szCs w:val="24"/>
        </w:rPr>
        <w:t xml:space="preserve">, and these methods are increasingly used to evaluate ecological claims regarding bottom-up limits for fisheries productivity </w:t>
      </w:r>
      <w:r w:rsidR="00D251B4">
        <w:rPr>
          <w:rFonts w:ascii="Times New Roman" w:hAnsi="Times New Roman" w:cs="Times New Roman"/>
          <w:sz w:val="24"/>
          <w:szCs w:val="24"/>
        </w:rPr>
        <w:fldChar w:fldCharType="begin"/>
      </w:r>
      <w:r w:rsidR="00D251B4">
        <w:rPr>
          <w:rFonts w:ascii="Times New Roman" w:hAnsi="Times New Roman" w:cs="Times New Roman"/>
          <w:sz w:val="24"/>
          <w:szCs w:val="24"/>
        </w:rPr>
        <w:instrText xml:space="preserve"> ADDIN ZOTERO_ITEM CSL_CITATION {"citationID":"LaPkf0HO","properties":{"formattedCitation":"(O\\uc0\\u8217{}Leary et al., 2018)","plainCitation":"(O’Leary et al., 2018)","noteIndex":0},"citationItems":[{"id":5008,"uris":["http://zotero.org/users/251206/items/KUURVDBY"],"uri":["http://zotero.org/users/251206/items/KUURVDBY"],"itemData":{"id":5008,"type":"article-journal","title":"Understanding historical Summer Flounder (Paralichthys dentatus) abundance patterns through the incorporation of oceanography-dependent vital rates in Bayesian hierarchical models","container-title":"Canadian Journal of Fisheries and Aquatic Sciences","source":"NRC Research Press","abstract":"Climate can impact fish population dynamics through changes in productivity and shifts in distribution, and both responses have been observed for many fish species. However, few studies have incorporated climate into population dynamics or stock assessment models. This study aimed to uncover how past variations in population vital rates and fishing pressure account for observed abundance variation in summer flounder (Paralichthys dentatus). The influences of the Gulf Stream Index, an index of climate variability in the Northwest Atlantic, on abundance were explored through natural mortality and stock-recruitment relationships in age-structured hierarchical Bayesian models. Posterior predictive loss and Deviance Information Criterion indicated that out of tested models, the best estimates of summer flounder abundances resulted from the climate-dependent natural mortality model that included log-quadratic responses to the Gulf Stream Index. This climate-linked population model demonstrates the role of clima...","URL":"http://www.nrcresearchpress.com/doi/abs/10.1139/cjfas-2018-0092","DOI":"10.1139/cjfas-2018-0092","ISSN":"0706-652X","journalAbbreviation":"Can. J. Fish. Aquat. Sci.","author":[{"family":"O'Leary","given":"Cecilia Ann"},{"family":"Miller","given":"Timothy J."},{"family":"Thorson","given":"James T"},{"family":"Nye","given":"Janet A."}],"issued":{"date-parts":[["2018",12,13]]},"accessed":{"date-parts":[["2019",1,18]]}}}],"schema":"https://github.com/citation-style-language/schema/raw/master/csl-citation.json"} </w:instrText>
      </w:r>
      <w:r w:rsidR="00D251B4">
        <w:rPr>
          <w:rFonts w:ascii="Times New Roman" w:hAnsi="Times New Roman" w:cs="Times New Roman"/>
          <w:sz w:val="24"/>
          <w:szCs w:val="24"/>
        </w:rPr>
        <w:fldChar w:fldCharType="separate"/>
      </w:r>
      <w:r w:rsidR="00D251B4" w:rsidRPr="00D251B4">
        <w:rPr>
          <w:rFonts w:ascii="Times New Roman" w:hAnsi="Times New Roman" w:cs="Times New Roman"/>
          <w:sz w:val="24"/>
          <w:szCs w:val="24"/>
        </w:rPr>
        <w:t>(O’Leary et al., 2018)</w:t>
      </w:r>
      <w:r w:rsidR="00D251B4">
        <w:rPr>
          <w:rFonts w:ascii="Times New Roman" w:hAnsi="Times New Roman" w:cs="Times New Roman"/>
          <w:sz w:val="24"/>
          <w:szCs w:val="24"/>
        </w:rPr>
        <w:fldChar w:fldCharType="end"/>
      </w:r>
      <w:r w:rsidR="00D251B4">
        <w:rPr>
          <w:rFonts w:ascii="Times New Roman" w:hAnsi="Times New Roman" w:cs="Times New Roman"/>
          <w:sz w:val="24"/>
          <w:szCs w:val="24"/>
        </w:rPr>
        <w:t xml:space="preserve">.  However, oceanographic indices are less commonly used in SDM forecasts of distribution shift.  We hope that </w:t>
      </w:r>
      <w:r w:rsidR="008D066A">
        <w:rPr>
          <w:rFonts w:ascii="Times New Roman" w:hAnsi="Times New Roman" w:cs="Times New Roman"/>
          <w:sz w:val="24"/>
          <w:szCs w:val="24"/>
        </w:rPr>
        <w:t xml:space="preserve">demonstrating the benefit of oceanographic indices in species distribution models will continue to “build a bridge” between fisheries oceanography and ecosystem-based management.  </w:t>
      </w:r>
    </w:p>
    <w:p w14:paraId="00CC8356" w14:textId="57847BE4" w:rsidR="0006789E" w:rsidRDefault="0006789E" w:rsidP="00B46FB7">
      <w:pPr>
        <w:tabs>
          <w:tab w:val="left" w:pos="360"/>
        </w:tabs>
        <w:spacing w:after="0" w:line="480" w:lineRule="auto"/>
        <w:rPr>
          <w:rFonts w:ascii="Times New Roman" w:hAnsi="Times New Roman" w:cs="Times New Roman"/>
          <w:b/>
          <w:sz w:val="24"/>
          <w:szCs w:val="24"/>
        </w:rPr>
      </w:pPr>
      <w:r>
        <w:rPr>
          <w:rFonts w:ascii="Times New Roman" w:hAnsi="Times New Roman" w:cs="Times New Roman"/>
          <w:b/>
          <w:sz w:val="24"/>
          <w:szCs w:val="24"/>
        </w:rPr>
        <w:t>Acknowledgements</w:t>
      </w:r>
    </w:p>
    <w:p w14:paraId="26CB8213" w14:textId="6F63166B" w:rsidR="00AD1C0F" w:rsidRDefault="0006789E" w:rsidP="00B46FB7">
      <w:pPr>
        <w:tabs>
          <w:tab w:val="left" w:pos="360"/>
        </w:tabs>
        <w:spacing w:after="0" w:line="480" w:lineRule="auto"/>
        <w:rPr>
          <w:rFonts w:ascii="Times New Roman" w:hAnsi="Times New Roman" w:cs="Times New Roman"/>
          <w:b/>
          <w:sz w:val="24"/>
          <w:szCs w:val="24"/>
        </w:rPr>
      </w:pPr>
      <w:r>
        <w:rPr>
          <w:rFonts w:ascii="Times New Roman" w:hAnsi="Times New Roman" w:cs="Times New Roman"/>
          <w:sz w:val="24"/>
          <w:szCs w:val="24"/>
        </w:rPr>
        <w:t>I thank M. Litzow</w:t>
      </w:r>
      <w:r w:rsidR="00B96F59">
        <w:rPr>
          <w:rFonts w:ascii="Times New Roman" w:hAnsi="Times New Roman" w:cs="Times New Roman"/>
          <w:sz w:val="24"/>
          <w:szCs w:val="24"/>
        </w:rPr>
        <w:t>, L. Rogers,</w:t>
      </w:r>
      <w:r>
        <w:rPr>
          <w:rFonts w:ascii="Times New Roman" w:hAnsi="Times New Roman" w:cs="Times New Roman"/>
          <w:sz w:val="24"/>
          <w:szCs w:val="24"/>
        </w:rPr>
        <w:t xml:space="preserve"> and L. Cian</w:t>
      </w:r>
      <w:r w:rsidR="00611E4E">
        <w:rPr>
          <w:rFonts w:ascii="Times New Roman" w:hAnsi="Times New Roman" w:cs="Times New Roman"/>
          <w:sz w:val="24"/>
          <w:szCs w:val="24"/>
        </w:rPr>
        <w:t>n</w:t>
      </w:r>
      <w:bookmarkStart w:id="0" w:name="_GoBack"/>
      <w:bookmarkEnd w:id="0"/>
      <w:r>
        <w:rPr>
          <w:rFonts w:ascii="Times New Roman" w:hAnsi="Times New Roman" w:cs="Times New Roman"/>
          <w:sz w:val="24"/>
          <w:szCs w:val="24"/>
        </w:rPr>
        <w:t xml:space="preserve">elli for discussions that prompted me to investigate </w:t>
      </w:r>
      <w:r w:rsidR="00D509D9">
        <w:rPr>
          <w:rFonts w:ascii="Times New Roman" w:hAnsi="Times New Roman" w:cs="Times New Roman"/>
          <w:sz w:val="24"/>
          <w:szCs w:val="24"/>
        </w:rPr>
        <w:t>spatially vary</w:t>
      </w:r>
      <w:r>
        <w:rPr>
          <w:rFonts w:ascii="Times New Roman" w:hAnsi="Times New Roman" w:cs="Times New Roman"/>
          <w:sz w:val="24"/>
          <w:szCs w:val="24"/>
        </w:rPr>
        <w:t xml:space="preserve">ing coefficient models, as well as sparked my interest in combining physical-oceanography with species distribution models.  </w:t>
      </w:r>
      <w:r w:rsidR="00B96F59">
        <w:rPr>
          <w:rFonts w:ascii="Times New Roman" w:hAnsi="Times New Roman" w:cs="Times New Roman"/>
          <w:sz w:val="24"/>
          <w:szCs w:val="24"/>
        </w:rPr>
        <w:t xml:space="preserve">I also thank C. Rooper and D. McGowan for comments on an earlier draft. </w:t>
      </w:r>
      <w:r w:rsidR="00AD1C0F">
        <w:rPr>
          <w:rFonts w:ascii="Times New Roman" w:hAnsi="Times New Roman" w:cs="Times New Roman"/>
          <w:b/>
          <w:sz w:val="24"/>
          <w:szCs w:val="24"/>
        </w:rPr>
        <w:br w:type="page"/>
      </w:r>
    </w:p>
    <w:p w14:paraId="1A730D15" w14:textId="1372664E" w:rsidR="00065226" w:rsidRDefault="00065226" w:rsidP="00B46FB7">
      <w:pPr>
        <w:tabs>
          <w:tab w:val="left" w:pos="360"/>
        </w:tabs>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Works cited</w:t>
      </w:r>
    </w:p>
    <w:p w14:paraId="6AF4B374" w14:textId="77777777" w:rsidR="00513465" w:rsidRPr="00513465" w:rsidRDefault="00065226" w:rsidP="00513465">
      <w:pPr>
        <w:pStyle w:val="Bibliography"/>
        <w:rPr>
          <w:rFonts w:ascii="Times New Roman" w:hAnsi="Times New Roman" w:cs="Times New Roman"/>
          <w:sz w:val="24"/>
        </w:rPr>
      </w:pPr>
      <w:r>
        <w:rPr>
          <w:b/>
        </w:rPr>
        <w:fldChar w:fldCharType="begin"/>
      </w:r>
      <w:r>
        <w:rPr>
          <w:b/>
        </w:rPr>
        <w:instrText xml:space="preserve"> ADDIN ZOTERO_BIBL {"uncited":[],"omitted":[],"custom":[]} CSL_BIBLIOGRAPHY </w:instrText>
      </w:r>
      <w:r>
        <w:rPr>
          <w:b/>
        </w:rPr>
        <w:fldChar w:fldCharType="separate"/>
      </w:r>
      <w:r w:rsidR="00513465" w:rsidRPr="00513465">
        <w:rPr>
          <w:rFonts w:ascii="Times New Roman" w:hAnsi="Times New Roman" w:cs="Times New Roman"/>
          <w:sz w:val="24"/>
        </w:rPr>
        <w:t>Araújo, M.B., New, M., 2007. Ensemble forecasting of species distributions. Trends Ecol. Evol. 22, 42–47. https://doi.org/10.1016/j.tree.2006.09.010</w:t>
      </w:r>
    </w:p>
    <w:p w14:paraId="48955EC7"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Bacheler, N.M., Bailey, K.M., Ciannelli, L., Bartolino, V., Chan, K.-S., 2009. Density-dependent, landscape, and climate effects on spawning distribution of walleye pollock Theragra chalcogramma. Mar. Ecol. Prog. Ser. 391, 1–12. https://doi.org/10.3354/meps08259</w:t>
      </w:r>
    </w:p>
    <w:p w14:paraId="2561D907"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Bacheler, N.M., Ciannelli, L., Bailey, K.M., Bartolino, V., 2012. Do walleye pollock exhibit flexibility in where or when they spawn based on variability in water temperature? Deep Sea Res. Part II Top. Stud. Oceanogr., Understanding Ecosystem Processes in the Eastern Bering Sea 65–70, 208–216. https://doi.org/10.1016/j.dsr2.2012.02.001</w:t>
      </w:r>
    </w:p>
    <w:p w14:paraId="35CFA820"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Barbeaux, S.J., Hollowed, A.B., 2018. Ontogeny matters: Climate variability and effects on fish distribution in the eastern Bering Sea. Fish. Oceanogr. 27, 1–15. https://doi.org/10.1111/fog.12229</w:t>
      </w:r>
    </w:p>
    <w:p w14:paraId="7A71B182"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Bartolino, V., Ciannelli, L., Bacheler, N.M., Chan, K.-S., 2011. Ontogenetic and sex-specific differences in density-dependent habitat selection of a marine fish population. Ecology 92, 189–200. https://doi.org/10.1890/09-1129.1</w:t>
      </w:r>
    </w:p>
    <w:p w14:paraId="76B3B8EA"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Chandler, R., Hepinstall-Cymerman, J., 2016. Estimating the spatial scales of landscape effects on abundance. Landsc. Ecol. 31, 1383–1394. https://doi.org/10.1007/s10980-016-0380-z</w:t>
      </w:r>
    </w:p>
    <w:p w14:paraId="67C9F067"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Cheung, W.W.L., Lam, V.W.Y., Pauly, D., 2008. Modelling present and climate-shifted distribution of marine fishes and invertebrates.</w:t>
      </w:r>
    </w:p>
    <w:p w14:paraId="491881F3"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De Robertis, A., Cokelet, E.D., 2012. Distribution of fish and macrozooplankton in ice-covered and open-water areas of the eastern Bering Sea. Deep Sea Res. Part II Top. Stud. Oceanogr., Understanding Ecosystem Processes in the Eastern Bering Sea 65–70, 217–229. https://doi.org/10.1016/j.dsr2.2012.02.005</w:t>
      </w:r>
    </w:p>
    <w:p w14:paraId="4C3E1BA5"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Dolder, P.J., Thorson, J.T., Minto, C., 2018. Spatial separation of catches in highly mixed fisheries. Sci. Rep. 8, 13886. https://doi.org/10.1038/s41598-018-31881-w</w:t>
      </w:r>
    </w:p>
    <w:p w14:paraId="05B77704"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Finley, A.O., 2011. Comparing spatially-varying coefficients models for analysis of ecological data with non-stationary and anisotropic residual dependence. Methods Ecol. Evol. 2, 143–154. https://doi.org/10.1111/j.2041-210X.2010.00060.x</w:t>
      </w:r>
    </w:p>
    <w:p w14:paraId="6A5D8168"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Frishkoff, L.O., Mahler, D.L., Fortin, M.-J., In press. Integrating Over Uncertainty In Spatial Scale Of Response Within Multispecies Occupancy Models Yields More Accurate Assessments Of Community Composition. Ecography.</w:t>
      </w:r>
    </w:p>
    <w:p w14:paraId="203A7263"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Fulton, E.A., Link, J.S., Kaplan, I.C., Savina-Rolland, M., Johnson, P., Ainsworth, C., Horne, P., Gorton, R., Gamble, R.J., Smith, A.D.M., Smith, D.C., 2011. Lessons in modelling and management of marine ecosystems: the Atlantis experience. Fish Fish. 12, 171–188. https://doi.org/10.1111/j.1467-2979.2011.00412.x</w:t>
      </w:r>
    </w:p>
    <w:p w14:paraId="7D430040"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Gelfand, A.E., Schmidt, A.M., Banerjee, S., Sirmans, C.F., 2004. Nonstationary multivariate process modeling through spatially varying coregionalization. Test 13, 263–312. https://doi.org/10.1007/BF02595775</w:t>
      </w:r>
    </w:p>
    <w:p w14:paraId="0E6D919C"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Gelman, A., Hill, J., 2007. Data analysis using regression and multilevel/hierarchical models. Cambridge University Press, Cambridge, UK.</w:t>
      </w:r>
    </w:p>
    <w:p w14:paraId="1C77D8FA"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Grimmer, M., 1963. The space-filtering of monthly surface temperature anomaly data in terms of pattern, using empirical orthogonal functions. Q. J. R. Meteorol. Soc. 89, 395–408. https://doi.org/10.1002/qj.49708938111</w:t>
      </w:r>
    </w:p>
    <w:p w14:paraId="3CCBB75A"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lastRenderedPageBreak/>
        <w:t>Heino, J., Soininen, J., Alahuhta, J., Lappalainen, J., Virtanen, R., 2017. Metacommunity ecology meets biogeography: effects of geographical region, spatial dynamics and environmental filtering on community structure in aquatic organisms. Oecologia 183, 121–137. https://doi.org/10.1007/s00442-016-3750-y</w:t>
      </w:r>
    </w:p>
    <w:p w14:paraId="6E45CAF0"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HilleRisLambers, J., Harsch, M.A., Ettinger, A.K., Ford, K.R., Theobald, E.J., 2013. How will biotic interactions influence climate change–induced range shifts? Ann. N. Y. Acad. Sci. 1297, 112–125.</w:t>
      </w:r>
    </w:p>
    <w:p w14:paraId="068751D3"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Hollowed, A.B., Barbeaux, S.J., Cokelet, E.D., Farley, E., Kotwicki, S., Ressler, P.H., Spital, C., Wilson, C.D., 2012. Effects of climate variations on pelagic ocean habitats and their role in structuring forage fish distributions in the Bering Sea. Deep Sea Res. Part II Top. Stud. Oceanogr., Understanding Ecosystem Processes in the Eastern Bering Sea 65–70, 230–250. https://doi.org/10.1016/j.dsr2.2012.02.008</w:t>
      </w:r>
    </w:p>
    <w:p w14:paraId="105AD037"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Hunt, G.L., Coyle, K.O., Eisner, L.B., Farley, E.V., Heintz, R.A., Mueter, F., Napp, J.M., Overland, J.E., Ressler, P.H., Salo, S., Stabeno, P.J., 2011. Climate impacts on eastern Bering Sea foodwebs: a synthesis of new data and an assessment of the Oscillating Control Hypothesis. ICES J. Mar. Sci. 68, 1230–1243. https://doi.org/10.1093/icesjms/fsr036</w:t>
      </w:r>
    </w:p>
    <w:p w14:paraId="06F2892D"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Kai, M., Thorson, J.T., Piner, K.R., Maunder, M.N., 2017. Spatio-temporal variation in size-structured populations using fishery data: an application to shortfin mako (Isurus oxyrinchus) in the Pacific Ocean. Can. J. Fish. Aquat. Sci. https://doi.org/10.1139/cjfas-2016-0327</w:t>
      </w:r>
    </w:p>
    <w:p w14:paraId="218549DB"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Kidson, J.W., 1975. Tropical Eigenvector Analysis and the Southern Oscillation. Mon. Weather Rev. 103, 187–196. https://doi.org/10.1175/1520-0493(1975)103&lt;0187:TEAATS&gt;2.0.CO;2</w:t>
      </w:r>
    </w:p>
    <w:p w14:paraId="116F2D7B"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Kristensen, K., Nielsen, A., Berg, C.W., Skaug, H., Bell, B.M., 2016. TMB: Automatic Differentiation and Laplace Approximation. J. Stat. Softw. 70, 1–21. https://doi.org/10.18637/jss.v070.i05</w:t>
      </w:r>
    </w:p>
    <w:p w14:paraId="71306FC4"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Kristensen, K., Thygesen, U.H., Andersen, K.H., Beyer, J.E., 2014. Estimating spatio-temporal dynamics of size-structured populations. Can. J. Fish. Aquat. Sci. 71, 326–336. https://doi.org/10.1139/cjfas-2013-0151</w:t>
      </w:r>
    </w:p>
    <w:p w14:paraId="6A3CB939"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Lauth, R.R., Conner, J., 2016. Results of the 2013 eastern Bering Sea continental shelf bottom trawl survey of groundfish and invertebrate resources (NOAA Technical Memorandum No. NMFS-AFSC-331). Seattle, WA.</w:t>
      </w:r>
    </w:p>
    <w:p w14:paraId="369AA5D6"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Lindgren, F., Rue, H., Lindström, J., 2011. An explicit link between Gaussian fields and Gaussian Markov random fields: the stochastic partial differential equation approach. J. R. Stat. Soc. Ser. B Stat. Methodol. 73, 423–498. https://doi.org/10.1111/j.1467-9868.2011.00777.x</w:t>
      </w:r>
    </w:p>
    <w:p w14:paraId="65D8CC52"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Link, J.S., Browman, H.I., 2014. Integrating what? Levels of marine ecosystem-based assessment and management. ICES J. Mar. Sci. 71, 1170–1173. https://doi.org/10.1093/icesjms/fsu026</w:t>
      </w:r>
    </w:p>
    <w:p w14:paraId="49234DDD"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Mantua, N.J., Hare, S.R., 2002. The Pacific decadal oscillation. J. Oceanogr. 58, 35–44.</w:t>
      </w:r>
    </w:p>
    <w:p w14:paraId="6A6EFC96"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O’Leary, C.A., Miller, T.J., Thorson, J.T., Nye, J.A., 2018. Understanding historical Summer Flounder (Paralichthys dentatus) abundance patterns through the incorporation of oceanography-dependent vital rates in Bayesian hierarchical models. Can. J. Fish. Aquat. Sci. https://doi.org/10.1139/cjfas-2018-0092</w:t>
      </w:r>
    </w:p>
    <w:p w14:paraId="3EDCF683"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lastRenderedPageBreak/>
        <w:t>Perretti, C.T., Thorson, J.T., In review. Spatio-temporal dynamics of  summer flounder (Paralichthys dentatus) on the Northeast U.S. Shelf.</w:t>
      </w:r>
    </w:p>
    <w:p w14:paraId="3DE9C845"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Pinsky, M.L., Reygondeau, G., Caddell, R., Palacios-Abrantes, J., Spijkers, J., Cheung, W.W.L., 2018. Preparing ocean governance for species on the move. Science 360, 1189–1191. https://doi.org/10.1126/science.aat2360</w:t>
      </w:r>
    </w:p>
    <w:p w14:paraId="4CB4E03F"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R Core Team, 2017. R: A Language and Environment for Statistical Computing. R Foundation for Statistical Computing, Vienna, Austria.</w:t>
      </w:r>
    </w:p>
    <w:p w14:paraId="520BC147"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Rassweiler, A., Costello, C., Hilborn, R., Siegel, D.A., 2014. Integrating scientific guidance into marine spatial planning. Proc. R. Soc. B Biol. Sci. 281, 20132252.</w:t>
      </w:r>
    </w:p>
    <w:p w14:paraId="2802AC51"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Rooney, S.C., Rooper, C.N., Laman, E.A., Turner, K.A., Cooper, D.W., Zimmermann, M., 2018. Model-based essential fish habitat definitions for Gulf of Alaska groundfish species.</w:t>
      </w:r>
    </w:p>
    <w:p w14:paraId="09996C02"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Rooper, C.N., Sigler, M.F., Goddard, P., Malecha, P., Towler, R., Williams, K., Wilborn, R., Zimmermann, M., 2016. Validation and improvement of species distribution models for structure-forming invertebrates in the eastern Bering Sea with an independent survey. Mar. Ecol. Prog. Ser. 551, 117–130. https://doi.org/10.3354/meps11703</w:t>
      </w:r>
    </w:p>
    <w:p w14:paraId="5DD12E44"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Schirripa, M.J., Goodyear, C.P., Methot, R.M., 2009. Testing different methods of incorporating climate data into the assessment of US West Coast sablefish. ICES J. Mar. Sci. 66, 1605–1613.</w:t>
      </w:r>
    </w:p>
    <w:p w14:paraId="3CE8C09E"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Smart, T.I., Duffy-Anderson, J.T., Horne, J.K., Farley, E.V., Wilson, C.D., Napp, J.M., 2012. Influence of environment on walleye pollock eggs, larvae, and juveniles in the southeastern Bering Sea. Deep Sea Res. Part II Top. Stud. Oceanogr., Understanding Ecosystem Processes in the Eastern Bering Sea 65–70, 196–207. https://doi.org/10.1016/j.dsr2.2012.02.018</w:t>
      </w:r>
    </w:p>
    <w:p w14:paraId="4832460A"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Stabeno, P.J., Kachel, N.B., Moore, S.E., Napp, J.M., Sigler, M., Yamaguchi, A., Zerbini, A.N., 2012. Comparison of warm and cold years on the southeastern Bering Sea shelf and some implications for the ecosystem. Deep Sea Res. Part II Top. Stud. Oceanogr., Understanding Ecosystem Processes in the Eastern Bering Sea 65–70, 31–45. https://doi.org/10.1016/j.dsr2.2012.02.020</w:t>
      </w:r>
    </w:p>
    <w:p w14:paraId="4BB5C2E7"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Teal, L., Marras, S., Peck, M., Domenici, P., 2018. Physiology-based modelling approaches to characterize fish habitat suitability: Their usefulness and limitations - ScienceDirect. Estunarine Coast. Shelf Sci. 201, 56–63.</w:t>
      </w:r>
    </w:p>
    <w:p w14:paraId="1702E685"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Thorson, Ianelli, J.N., Munch, S.B., Ono, K., Spencer, P.D., 2015. Spatial delay-difference models for estimating spatiotemporal variation in juvenile production and population abundance. Can. J. Fish. Aquat. Sci. 72, 1897–1915. https://doi.org/10.1139/cjfas-2014-0543</w:t>
      </w:r>
    </w:p>
    <w:p w14:paraId="6552448C"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Thorson, J.T., 2019a. Forecast skill for predicting distribution shifts: A retrospective experiment for marine fishes in the Eastern Bering Sea. Fish Fish. 20, 159–173. https://doi.org/10.1111/faf.12330</w:t>
      </w:r>
    </w:p>
    <w:p w14:paraId="201C8C99"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Thorson, J.T., 2019b. Guidance for decisions using the Vector Autoregressive Spatio-Temporal (VAST) package in stock, ecosystem, habitat and climate assessments. Fish. Res. 210, 143–161. https://doi.org/10.1016/j.fishres.2018.10.013</w:t>
      </w:r>
    </w:p>
    <w:p w14:paraId="024A85FA"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Thorson, J.T., 2017. Three problems with the conventional delta-model for biomass sampling data, and a computationally efficient alternative. Can. J. Fish. Aquat. Sci. 75, 1369–1382. https://doi.org/10.1139/cjfas-2017-0266</w:t>
      </w:r>
    </w:p>
    <w:p w14:paraId="00028ABC"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lastRenderedPageBreak/>
        <w:t>Thorson, J.T., Barnett, L.A.K., 2017. Comparing estimates of abundance trends and distribution shifts using single- and multispecies models of fishes and biogenic habitat. ICES J. Mar. Sci. 74, 1311–1321. https://doi.org/10.1093/icesjms/fsw193</w:t>
      </w:r>
    </w:p>
    <w:p w14:paraId="7C9109A4"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Thorson, J.T., Ianelli, J.N., Kotwicki, S., 2017. The relative influence of temperature and size-structure on fish distribution shifts: A case-study on Walleye pollock in the Bering Sea. Fish Fish. 18, 1073–1084. https://doi.org/10.1111/faf.12225</w:t>
      </w:r>
    </w:p>
    <w:p w14:paraId="632BC405"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Wood, S.N., 2006. Generalized additive models: an introduction with R, 1st ed. Chapman and Hall/CRC Press, Boca Raton, FL.</w:t>
      </w:r>
    </w:p>
    <w:p w14:paraId="210BCF02" w14:textId="77777777" w:rsidR="00513465" w:rsidRPr="00513465" w:rsidRDefault="00513465" w:rsidP="00513465">
      <w:pPr>
        <w:pStyle w:val="Bibliography"/>
        <w:rPr>
          <w:rFonts w:ascii="Times New Roman" w:hAnsi="Times New Roman" w:cs="Times New Roman"/>
          <w:sz w:val="24"/>
        </w:rPr>
      </w:pPr>
      <w:r w:rsidRPr="00513465">
        <w:rPr>
          <w:rFonts w:ascii="Times New Roman" w:hAnsi="Times New Roman" w:cs="Times New Roman"/>
          <w:sz w:val="24"/>
        </w:rPr>
        <w:t>Zhang, J., Woodgate, R., Mangiameli, S., 2012. Towards seasonal prediction of the distribution and extent of cold bottom waters on the Bering Sea shelf. Deep Sea Res. Part II Top. Stud. Oceanogr., Understanding Ecosystem Processes in the Eastern Bering Sea 65–70, 58–71. https://doi.org/10.1016/j.dsr2.2012.02.023</w:t>
      </w:r>
    </w:p>
    <w:p w14:paraId="2F06B22E" w14:textId="78397FCF" w:rsidR="009174AC" w:rsidRPr="00B34CC3" w:rsidRDefault="00065226" w:rsidP="00B46FB7">
      <w:pPr>
        <w:tabs>
          <w:tab w:val="left" w:pos="360"/>
        </w:tabs>
        <w:spacing w:after="0" w:line="480" w:lineRule="auto"/>
        <w:rPr>
          <w:rFonts w:ascii="Times New Roman" w:hAnsi="Times New Roman" w:cs="Times New Roman"/>
          <w:b/>
          <w:sz w:val="24"/>
          <w:szCs w:val="24"/>
        </w:rPr>
      </w:pPr>
      <w:r>
        <w:rPr>
          <w:rFonts w:ascii="Times New Roman" w:hAnsi="Times New Roman" w:cs="Times New Roman"/>
          <w:b/>
          <w:sz w:val="24"/>
          <w:szCs w:val="24"/>
        </w:rPr>
        <w:fldChar w:fldCharType="end"/>
      </w:r>
      <w:r w:rsidR="009174AC" w:rsidRPr="00B34CC3">
        <w:rPr>
          <w:rFonts w:ascii="Times New Roman" w:hAnsi="Times New Roman" w:cs="Times New Roman"/>
          <w:b/>
          <w:sz w:val="24"/>
          <w:szCs w:val="24"/>
        </w:rPr>
        <w:br w:type="page"/>
      </w:r>
    </w:p>
    <w:p w14:paraId="2272DDCD" w14:textId="50418741" w:rsidR="00262CA4" w:rsidRDefault="00262CA4" w:rsidP="00B46FB7">
      <w:pPr>
        <w:tabs>
          <w:tab w:val="left" w:pos="360"/>
        </w:tabs>
        <w:spacing w:after="0" w:line="480" w:lineRule="auto"/>
        <w:rPr>
          <w:rFonts w:ascii="Times New Roman" w:hAnsi="Times New Roman" w:cs="Times New Roman"/>
          <w:sz w:val="24"/>
          <w:szCs w:val="24"/>
        </w:rPr>
      </w:pPr>
      <w:r w:rsidRPr="00583253">
        <w:rPr>
          <w:rFonts w:ascii="Times New Roman" w:hAnsi="Times New Roman" w:cs="Times New Roman"/>
          <w:sz w:val="24"/>
          <w:szCs w:val="24"/>
        </w:rPr>
        <w:lastRenderedPageBreak/>
        <w:t>Table 1</w:t>
      </w:r>
      <w:r w:rsidR="00E4648F">
        <w:rPr>
          <w:rFonts w:ascii="Times New Roman" w:hAnsi="Times New Roman" w:cs="Times New Roman"/>
          <w:sz w:val="24"/>
          <w:szCs w:val="24"/>
        </w:rPr>
        <w:t xml:space="preserve"> – Comparison of </w:t>
      </w:r>
      <m:oMath>
        <m:r>
          <m:rPr>
            <m:sty m:val="p"/>
          </m:rPr>
          <w:rPr>
            <w:rFonts w:ascii="Cambria Math" w:hAnsi="Cambria Math" w:cs="Times New Roman"/>
            <w:sz w:val="24"/>
            <w:szCs w:val="24"/>
          </w:rPr>
          <m:t>Δ</m:t>
        </m:r>
        <m:r>
          <w:rPr>
            <w:rFonts w:ascii="Cambria Math" w:hAnsi="Cambria Math" w:cs="Times New Roman"/>
            <w:sz w:val="24"/>
            <w:szCs w:val="24"/>
          </w:rPr>
          <m:t>AIC</m:t>
        </m:r>
      </m:oMath>
      <w:r w:rsidR="00E4648F">
        <w:rPr>
          <w:rFonts w:ascii="Times New Roman" w:eastAsiaTheme="minorEastAsia" w:hAnsi="Times New Roman" w:cs="Times New Roman"/>
          <w:sz w:val="24"/>
          <w:szCs w:val="24"/>
        </w:rPr>
        <w:t xml:space="preserve"> for </w:t>
      </w:r>
      <w:r w:rsidR="0089631C">
        <w:rPr>
          <w:rFonts w:ascii="Times New Roman" w:eastAsiaTheme="minorEastAsia" w:hAnsi="Times New Roman" w:cs="Times New Roman"/>
          <w:sz w:val="24"/>
          <w:szCs w:val="24"/>
        </w:rPr>
        <w:t>seventeen</w:t>
      </w:r>
      <w:r w:rsidR="00E4648F">
        <w:rPr>
          <w:rFonts w:ascii="Times New Roman" w:eastAsiaTheme="minorEastAsia" w:hAnsi="Times New Roman" w:cs="Times New Roman"/>
          <w:sz w:val="24"/>
          <w:szCs w:val="24"/>
        </w:rPr>
        <w:t xml:space="preserve"> species analyzed and four candidate models</w:t>
      </w:r>
      <w:r w:rsidR="00D25965">
        <w:rPr>
          <w:rFonts w:ascii="Times New Roman" w:eastAsiaTheme="minorEastAsia" w:hAnsi="Times New Roman" w:cs="Times New Roman"/>
          <w:sz w:val="24"/>
          <w:szCs w:val="24"/>
        </w:rPr>
        <w:t xml:space="preserve"> (the model with lowest AIC is indicated in bold)</w:t>
      </w:r>
      <w:r w:rsidR="00E4648F">
        <w:rPr>
          <w:rFonts w:ascii="Times New Roman" w:eastAsiaTheme="minorEastAsia" w:hAnsi="Times New Roman" w:cs="Times New Roman"/>
          <w:sz w:val="24"/>
          <w:szCs w:val="24"/>
        </w:rPr>
        <w:t xml:space="preserve">; Temp: a quadratic effect of local bottom temperature on numbers-density and average biomass; ColdPool: a </w:t>
      </w:r>
      <w:r w:rsidR="00D509D9">
        <w:rPr>
          <w:rFonts w:ascii="Times New Roman" w:eastAsiaTheme="minorEastAsia" w:hAnsi="Times New Roman" w:cs="Times New Roman"/>
          <w:sz w:val="24"/>
          <w:szCs w:val="24"/>
        </w:rPr>
        <w:t>spatially vary</w:t>
      </w:r>
      <w:r w:rsidR="00E4648F">
        <w:rPr>
          <w:rFonts w:ascii="Times New Roman" w:eastAsiaTheme="minorEastAsia" w:hAnsi="Times New Roman" w:cs="Times New Roman"/>
          <w:sz w:val="24"/>
          <w:szCs w:val="24"/>
        </w:rPr>
        <w:t xml:space="preserve">ing effect of annual </w:t>
      </w:r>
      <w:r w:rsidR="00A349B6">
        <w:rPr>
          <w:rFonts w:ascii="Times New Roman" w:eastAsiaTheme="minorEastAsia" w:hAnsi="Times New Roman" w:cs="Times New Roman"/>
          <w:sz w:val="24"/>
          <w:szCs w:val="24"/>
        </w:rPr>
        <w:t xml:space="preserve">cold-pool </w:t>
      </w:r>
      <w:r w:rsidR="00E4648F">
        <w:rPr>
          <w:rFonts w:ascii="Times New Roman" w:eastAsiaTheme="minorEastAsia" w:hAnsi="Times New Roman" w:cs="Times New Roman"/>
          <w:sz w:val="24"/>
          <w:szCs w:val="24"/>
        </w:rPr>
        <w:t xml:space="preserve">extent on numbers-density and average biomass; None: neither temperature nor cold-pool effects; Both: both temperature and cold-pool effects. </w:t>
      </w:r>
    </w:p>
    <w:tbl>
      <w:tblPr>
        <w:tblW w:w="8953" w:type="dxa"/>
        <w:tblBorders>
          <w:top w:val="single" w:sz="4" w:space="0" w:color="auto"/>
          <w:bottom w:val="single" w:sz="4" w:space="0" w:color="auto"/>
        </w:tblBorders>
        <w:tblLook w:val="04A0" w:firstRow="1" w:lastRow="0" w:firstColumn="1" w:lastColumn="0" w:noHBand="0" w:noVBand="1"/>
      </w:tblPr>
      <w:tblGrid>
        <w:gridCol w:w="4950"/>
        <w:gridCol w:w="960"/>
        <w:gridCol w:w="960"/>
        <w:gridCol w:w="1123"/>
        <w:gridCol w:w="960"/>
      </w:tblGrid>
      <w:tr w:rsidR="004450BD" w:rsidRPr="002A4C94" w14:paraId="318BB298" w14:textId="77777777" w:rsidTr="004450BD">
        <w:trPr>
          <w:trHeight w:val="300"/>
        </w:trPr>
        <w:tc>
          <w:tcPr>
            <w:tcW w:w="4950" w:type="dxa"/>
            <w:tcBorders>
              <w:top w:val="single" w:sz="4" w:space="0" w:color="auto"/>
              <w:bottom w:val="single" w:sz="4" w:space="0" w:color="auto"/>
            </w:tcBorders>
            <w:shd w:val="clear" w:color="auto" w:fill="auto"/>
            <w:noWrap/>
            <w:vAlign w:val="bottom"/>
            <w:hideMark/>
          </w:tcPr>
          <w:p w14:paraId="10EE2711" w14:textId="77777777" w:rsidR="004450BD" w:rsidRPr="002A4C94" w:rsidRDefault="004450BD" w:rsidP="00B46FB7">
            <w:pPr>
              <w:tabs>
                <w:tab w:val="left" w:pos="360"/>
              </w:tabs>
              <w:spacing w:after="0" w:line="480" w:lineRule="auto"/>
              <w:rPr>
                <w:rFonts w:ascii="Times New Roman" w:eastAsia="Times New Roman" w:hAnsi="Times New Roman" w:cs="Times New Roman"/>
                <w:sz w:val="24"/>
                <w:szCs w:val="24"/>
              </w:rPr>
            </w:pPr>
          </w:p>
        </w:tc>
        <w:tc>
          <w:tcPr>
            <w:tcW w:w="960" w:type="dxa"/>
            <w:tcBorders>
              <w:top w:val="single" w:sz="4" w:space="0" w:color="auto"/>
              <w:bottom w:val="single" w:sz="4" w:space="0" w:color="auto"/>
            </w:tcBorders>
            <w:shd w:val="clear" w:color="auto" w:fill="auto"/>
            <w:noWrap/>
            <w:vAlign w:val="bottom"/>
            <w:hideMark/>
          </w:tcPr>
          <w:p w14:paraId="1B5D68B5" w14:textId="77777777" w:rsidR="004450BD" w:rsidRPr="002A4C94" w:rsidRDefault="004450BD" w:rsidP="00B46FB7">
            <w:pPr>
              <w:tabs>
                <w:tab w:val="left" w:pos="360"/>
              </w:tabs>
              <w:spacing w:after="0" w:line="480" w:lineRule="auto"/>
              <w:jc w:val="center"/>
              <w:rPr>
                <w:rFonts w:ascii="Times New Roman" w:eastAsia="Times New Roman" w:hAnsi="Times New Roman" w:cs="Times New Roman"/>
                <w:color w:val="000000"/>
                <w:sz w:val="24"/>
                <w:szCs w:val="24"/>
              </w:rPr>
            </w:pPr>
            <w:r w:rsidRPr="002A4C94">
              <w:rPr>
                <w:rFonts w:ascii="Times New Roman" w:eastAsia="Times New Roman" w:hAnsi="Times New Roman" w:cs="Times New Roman"/>
                <w:color w:val="000000"/>
                <w:sz w:val="24"/>
                <w:szCs w:val="24"/>
              </w:rPr>
              <w:t>None</w:t>
            </w:r>
          </w:p>
        </w:tc>
        <w:tc>
          <w:tcPr>
            <w:tcW w:w="960" w:type="dxa"/>
            <w:tcBorders>
              <w:top w:val="single" w:sz="4" w:space="0" w:color="auto"/>
              <w:bottom w:val="single" w:sz="4" w:space="0" w:color="auto"/>
            </w:tcBorders>
            <w:shd w:val="clear" w:color="auto" w:fill="auto"/>
            <w:noWrap/>
            <w:vAlign w:val="bottom"/>
            <w:hideMark/>
          </w:tcPr>
          <w:p w14:paraId="69869DB3" w14:textId="77777777" w:rsidR="004450BD" w:rsidRPr="002A4C94" w:rsidRDefault="004450BD" w:rsidP="00B46FB7">
            <w:pPr>
              <w:tabs>
                <w:tab w:val="left" w:pos="360"/>
              </w:tabs>
              <w:spacing w:after="0" w:line="480" w:lineRule="auto"/>
              <w:jc w:val="center"/>
              <w:rPr>
                <w:rFonts w:ascii="Times New Roman" w:eastAsia="Times New Roman" w:hAnsi="Times New Roman" w:cs="Times New Roman"/>
                <w:color w:val="000000"/>
                <w:sz w:val="24"/>
                <w:szCs w:val="24"/>
              </w:rPr>
            </w:pPr>
            <w:r w:rsidRPr="002A4C94">
              <w:rPr>
                <w:rFonts w:ascii="Times New Roman" w:eastAsia="Times New Roman" w:hAnsi="Times New Roman" w:cs="Times New Roman"/>
                <w:color w:val="000000"/>
                <w:sz w:val="24"/>
                <w:szCs w:val="24"/>
              </w:rPr>
              <w:t>Temp</w:t>
            </w:r>
          </w:p>
        </w:tc>
        <w:tc>
          <w:tcPr>
            <w:tcW w:w="1123" w:type="dxa"/>
            <w:tcBorders>
              <w:top w:val="single" w:sz="4" w:space="0" w:color="auto"/>
              <w:bottom w:val="single" w:sz="4" w:space="0" w:color="auto"/>
            </w:tcBorders>
            <w:shd w:val="clear" w:color="auto" w:fill="auto"/>
            <w:noWrap/>
            <w:vAlign w:val="bottom"/>
            <w:hideMark/>
          </w:tcPr>
          <w:p w14:paraId="6C5CD3D6" w14:textId="77777777" w:rsidR="004450BD" w:rsidRPr="002A4C94" w:rsidRDefault="004450BD" w:rsidP="00B46FB7">
            <w:pPr>
              <w:tabs>
                <w:tab w:val="left" w:pos="360"/>
              </w:tabs>
              <w:spacing w:after="0" w:line="480" w:lineRule="auto"/>
              <w:jc w:val="center"/>
              <w:rPr>
                <w:rFonts w:ascii="Times New Roman" w:eastAsia="Times New Roman" w:hAnsi="Times New Roman" w:cs="Times New Roman"/>
                <w:color w:val="000000"/>
                <w:sz w:val="24"/>
                <w:szCs w:val="24"/>
              </w:rPr>
            </w:pPr>
            <w:r w:rsidRPr="002A4C94">
              <w:rPr>
                <w:rFonts w:ascii="Times New Roman" w:eastAsia="Times New Roman" w:hAnsi="Times New Roman" w:cs="Times New Roman"/>
                <w:color w:val="000000"/>
                <w:sz w:val="24"/>
                <w:szCs w:val="24"/>
              </w:rPr>
              <w:t>ColdPool</w:t>
            </w:r>
          </w:p>
        </w:tc>
        <w:tc>
          <w:tcPr>
            <w:tcW w:w="960" w:type="dxa"/>
            <w:tcBorders>
              <w:top w:val="single" w:sz="4" w:space="0" w:color="auto"/>
              <w:bottom w:val="single" w:sz="4" w:space="0" w:color="auto"/>
            </w:tcBorders>
            <w:shd w:val="clear" w:color="auto" w:fill="auto"/>
            <w:noWrap/>
            <w:vAlign w:val="bottom"/>
            <w:hideMark/>
          </w:tcPr>
          <w:p w14:paraId="4037A397" w14:textId="77777777" w:rsidR="004450BD" w:rsidRPr="002A4C94" w:rsidRDefault="004450BD" w:rsidP="00B46FB7">
            <w:pPr>
              <w:tabs>
                <w:tab w:val="left" w:pos="360"/>
              </w:tabs>
              <w:spacing w:after="0" w:line="480" w:lineRule="auto"/>
              <w:jc w:val="center"/>
              <w:rPr>
                <w:rFonts w:ascii="Times New Roman" w:eastAsia="Times New Roman" w:hAnsi="Times New Roman" w:cs="Times New Roman"/>
                <w:color w:val="000000"/>
                <w:sz w:val="24"/>
                <w:szCs w:val="24"/>
              </w:rPr>
            </w:pPr>
            <w:r w:rsidRPr="002A4C94">
              <w:rPr>
                <w:rFonts w:ascii="Times New Roman" w:eastAsia="Times New Roman" w:hAnsi="Times New Roman" w:cs="Times New Roman"/>
                <w:color w:val="000000"/>
                <w:sz w:val="24"/>
                <w:szCs w:val="24"/>
              </w:rPr>
              <w:t>Both</w:t>
            </w:r>
          </w:p>
        </w:tc>
      </w:tr>
      <w:tr w:rsidR="002A4C94" w:rsidRPr="002A4C94" w14:paraId="714B047B" w14:textId="77777777" w:rsidTr="00DB3A49">
        <w:trPr>
          <w:trHeight w:val="300"/>
        </w:trPr>
        <w:tc>
          <w:tcPr>
            <w:tcW w:w="4950" w:type="dxa"/>
            <w:tcBorders>
              <w:top w:val="single" w:sz="4" w:space="0" w:color="auto"/>
            </w:tcBorders>
            <w:shd w:val="clear" w:color="auto" w:fill="auto"/>
            <w:noWrap/>
            <w:vAlign w:val="bottom"/>
            <w:hideMark/>
          </w:tcPr>
          <w:p w14:paraId="574F49C8" w14:textId="7D7C2B98" w:rsidR="002A4C94" w:rsidRPr="00BC67E3" w:rsidRDefault="002A4C94" w:rsidP="002A4C94">
            <w:pPr>
              <w:tabs>
                <w:tab w:val="left" w:pos="360"/>
              </w:tabs>
              <w:spacing w:after="0" w:line="480" w:lineRule="auto"/>
              <w:rPr>
                <w:rFonts w:ascii="Times New Roman" w:eastAsia="Times New Roman" w:hAnsi="Times New Roman" w:cs="Times New Roman"/>
                <w:i/>
                <w:color w:val="000000"/>
                <w:sz w:val="24"/>
                <w:szCs w:val="24"/>
              </w:rPr>
            </w:pPr>
            <w:r w:rsidRPr="00BC67E3">
              <w:rPr>
                <w:rFonts w:ascii="Times New Roman" w:hAnsi="Times New Roman" w:cs="Times New Roman"/>
                <w:i/>
                <w:color w:val="000000"/>
                <w:sz w:val="24"/>
                <w:szCs w:val="24"/>
              </w:rPr>
              <w:t>Gadus chalcogrammus</w:t>
            </w:r>
          </w:p>
        </w:tc>
        <w:tc>
          <w:tcPr>
            <w:tcW w:w="960" w:type="dxa"/>
            <w:tcBorders>
              <w:top w:val="single" w:sz="4" w:space="0" w:color="auto"/>
            </w:tcBorders>
            <w:shd w:val="clear" w:color="auto" w:fill="auto"/>
            <w:noWrap/>
            <w:vAlign w:val="bottom"/>
            <w:hideMark/>
          </w:tcPr>
          <w:p w14:paraId="17CE7253" w14:textId="42F43262"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266.9</w:t>
            </w:r>
          </w:p>
        </w:tc>
        <w:tc>
          <w:tcPr>
            <w:tcW w:w="960" w:type="dxa"/>
            <w:tcBorders>
              <w:top w:val="single" w:sz="4" w:space="0" w:color="auto"/>
            </w:tcBorders>
            <w:shd w:val="clear" w:color="auto" w:fill="auto"/>
            <w:noWrap/>
            <w:vAlign w:val="bottom"/>
            <w:hideMark/>
          </w:tcPr>
          <w:p w14:paraId="66048682" w14:textId="33DD3EEE"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76.5</w:t>
            </w:r>
          </w:p>
        </w:tc>
        <w:tc>
          <w:tcPr>
            <w:tcW w:w="1123" w:type="dxa"/>
            <w:tcBorders>
              <w:top w:val="single" w:sz="4" w:space="0" w:color="auto"/>
            </w:tcBorders>
            <w:shd w:val="clear" w:color="auto" w:fill="auto"/>
            <w:noWrap/>
            <w:vAlign w:val="bottom"/>
            <w:hideMark/>
          </w:tcPr>
          <w:p w14:paraId="56A91772" w14:textId="7EFA5297"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155.6</w:t>
            </w:r>
          </w:p>
        </w:tc>
        <w:tc>
          <w:tcPr>
            <w:tcW w:w="960" w:type="dxa"/>
            <w:tcBorders>
              <w:top w:val="single" w:sz="4" w:space="0" w:color="auto"/>
            </w:tcBorders>
            <w:shd w:val="clear" w:color="auto" w:fill="auto"/>
            <w:noWrap/>
            <w:vAlign w:val="bottom"/>
            <w:hideMark/>
          </w:tcPr>
          <w:p w14:paraId="2FF551AC" w14:textId="4C165D27"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b/>
                <w:color w:val="000000"/>
                <w:sz w:val="24"/>
                <w:szCs w:val="24"/>
              </w:rPr>
              <w:t>0.0</w:t>
            </w:r>
          </w:p>
        </w:tc>
      </w:tr>
      <w:tr w:rsidR="002A4C94" w:rsidRPr="002A4C94" w14:paraId="681606E8" w14:textId="77777777" w:rsidTr="00DB3A49">
        <w:trPr>
          <w:trHeight w:val="300"/>
        </w:trPr>
        <w:tc>
          <w:tcPr>
            <w:tcW w:w="4950" w:type="dxa"/>
            <w:shd w:val="clear" w:color="auto" w:fill="auto"/>
            <w:noWrap/>
            <w:vAlign w:val="bottom"/>
            <w:hideMark/>
          </w:tcPr>
          <w:p w14:paraId="65F7CA15" w14:textId="59351938" w:rsidR="002A4C94" w:rsidRPr="00BC67E3" w:rsidRDefault="002A4C94" w:rsidP="002A4C94">
            <w:pPr>
              <w:tabs>
                <w:tab w:val="left" w:pos="360"/>
              </w:tabs>
              <w:spacing w:after="0" w:line="480" w:lineRule="auto"/>
              <w:rPr>
                <w:rFonts w:ascii="Times New Roman" w:eastAsia="Times New Roman" w:hAnsi="Times New Roman" w:cs="Times New Roman"/>
                <w:i/>
                <w:color w:val="000000"/>
                <w:sz w:val="24"/>
                <w:szCs w:val="24"/>
              </w:rPr>
            </w:pPr>
            <w:r w:rsidRPr="00BC67E3">
              <w:rPr>
                <w:rFonts w:ascii="Times New Roman" w:hAnsi="Times New Roman" w:cs="Times New Roman"/>
                <w:i/>
                <w:color w:val="000000"/>
                <w:sz w:val="24"/>
                <w:szCs w:val="24"/>
              </w:rPr>
              <w:t>Gadus macrocephalus</w:t>
            </w:r>
          </w:p>
        </w:tc>
        <w:tc>
          <w:tcPr>
            <w:tcW w:w="960" w:type="dxa"/>
            <w:shd w:val="clear" w:color="auto" w:fill="auto"/>
            <w:noWrap/>
            <w:vAlign w:val="bottom"/>
            <w:hideMark/>
          </w:tcPr>
          <w:p w14:paraId="6E107AF1" w14:textId="4A501D7D"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572.0</w:t>
            </w:r>
          </w:p>
        </w:tc>
        <w:tc>
          <w:tcPr>
            <w:tcW w:w="960" w:type="dxa"/>
            <w:shd w:val="clear" w:color="auto" w:fill="auto"/>
            <w:noWrap/>
            <w:vAlign w:val="bottom"/>
            <w:hideMark/>
          </w:tcPr>
          <w:p w14:paraId="09495E4C" w14:textId="44F50654"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163.1</w:t>
            </w:r>
          </w:p>
        </w:tc>
        <w:tc>
          <w:tcPr>
            <w:tcW w:w="1123" w:type="dxa"/>
            <w:shd w:val="clear" w:color="auto" w:fill="auto"/>
            <w:noWrap/>
            <w:vAlign w:val="bottom"/>
            <w:hideMark/>
          </w:tcPr>
          <w:p w14:paraId="5EB34F11" w14:textId="4045FE05"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392.1</w:t>
            </w:r>
          </w:p>
        </w:tc>
        <w:tc>
          <w:tcPr>
            <w:tcW w:w="960" w:type="dxa"/>
            <w:shd w:val="clear" w:color="auto" w:fill="auto"/>
            <w:noWrap/>
            <w:vAlign w:val="bottom"/>
            <w:hideMark/>
          </w:tcPr>
          <w:p w14:paraId="1FED27A1" w14:textId="5C955537"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b/>
                <w:color w:val="000000"/>
                <w:sz w:val="24"/>
                <w:szCs w:val="24"/>
              </w:rPr>
              <w:t>0.0</w:t>
            </w:r>
          </w:p>
        </w:tc>
      </w:tr>
      <w:tr w:rsidR="002A4C94" w:rsidRPr="002A4C94" w14:paraId="797EA708" w14:textId="77777777" w:rsidTr="00DB3A49">
        <w:trPr>
          <w:trHeight w:val="300"/>
        </w:trPr>
        <w:tc>
          <w:tcPr>
            <w:tcW w:w="4950" w:type="dxa"/>
            <w:shd w:val="clear" w:color="auto" w:fill="auto"/>
            <w:noWrap/>
            <w:vAlign w:val="bottom"/>
            <w:hideMark/>
          </w:tcPr>
          <w:p w14:paraId="3013CDB2" w14:textId="58F0398F" w:rsidR="002A4C94" w:rsidRPr="00BC67E3" w:rsidRDefault="002A4C94" w:rsidP="002A4C94">
            <w:pPr>
              <w:tabs>
                <w:tab w:val="left" w:pos="360"/>
              </w:tabs>
              <w:spacing w:after="0" w:line="480" w:lineRule="auto"/>
              <w:rPr>
                <w:rFonts w:ascii="Times New Roman" w:eastAsia="Times New Roman" w:hAnsi="Times New Roman" w:cs="Times New Roman"/>
                <w:i/>
                <w:color w:val="000000"/>
                <w:sz w:val="24"/>
                <w:szCs w:val="24"/>
              </w:rPr>
            </w:pPr>
            <w:r w:rsidRPr="00BC67E3">
              <w:rPr>
                <w:rFonts w:ascii="Times New Roman" w:hAnsi="Times New Roman" w:cs="Times New Roman"/>
                <w:i/>
                <w:color w:val="000000"/>
                <w:sz w:val="24"/>
                <w:szCs w:val="24"/>
              </w:rPr>
              <w:t>Hippoglossoides elassodon</w:t>
            </w:r>
          </w:p>
        </w:tc>
        <w:tc>
          <w:tcPr>
            <w:tcW w:w="960" w:type="dxa"/>
            <w:shd w:val="clear" w:color="auto" w:fill="auto"/>
            <w:noWrap/>
            <w:vAlign w:val="bottom"/>
            <w:hideMark/>
          </w:tcPr>
          <w:p w14:paraId="02C6F039" w14:textId="52C1687B"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196.0</w:t>
            </w:r>
          </w:p>
        </w:tc>
        <w:tc>
          <w:tcPr>
            <w:tcW w:w="960" w:type="dxa"/>
            <w:shd w:val="clear" w:color="auto" w:fill="auto"/>
            <w:noWrap/>
            <w:vAlign w:val="bottom"/>
            <w:hideMark/>
          </w:tcPr>
          <w:p w14:paraId="24FA63EB" w14:textId="75F334CC"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0.4</w:t>
            </w:r>
          </w:p>
        </w:tc>
        <w:tc>
          <w:tcPr>
            <w:tcW w:w="1123" w:type="dxa"/>
            <w:shd w:val="clear" w:color="auto" w:fill="auto"/>
            <w:noWrap/>
            <w:vAlign w:val="bottom"/>
            <w:hideMark/>
          </w:tcPr>
          <w:p w14:paraId="34D80478" w14:textId="653600B9"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164.4</w:t>
            </w:r>
          </w:p>
        </w:tc>
        <w:tc>
          <w:tcPr>
            <w:tcW w:w="960" w:type="dxa"/>
            <w:shd w:val="clear" w:color="auto" w:fill="auto"/>
            <w:noWrap/>
            <w:vAlign w:val="bottom"/>
            <w:hideMark/>
          </w:tcPr>
          <w:p w14:paraId="5E302EC2" w14:textId="6EADC88E"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b/>
                <w:color w:val="000000"/>
                <w:sz w:val="24"/>
                <w:szCs w:val="24"/>
              </w:rPr>
              <w:t>0.0</w:t>
            </w:r>
          </w:p>
        </w:tc>
      </w:tr>
      <w:tr w:rsidR="002A4C94" w:rsidRPr="002A4C94" w14:paraId="1DE3D342" w14:textId="77777777" w:rsidTr="00DB3A49">
        <w:trPr>
          <w:trHeight w:val="300"/>
        </w:trPr>
        <w:tc>
          <w:tcPr>
            <w:tcW w:w="4950" w:type="dxa"/>
            <w:shd w:val="clear" w:color="auto" w:fill="auto"/>
            <w:noWrap/>
            <w:vAlign w:val="bottom"/>
            <w:hideMark/>
          </w:tcPr>
          <w:p w14:paraId="0ADAE6F4" w14:textId="5C50F507" w:rsidR="002A4C94" w:rsidRPr="00BC67E3" w:rsidRDefault="002A4C94" w:rsidP="002A4C94">
            <w:pPr>
              <w:tabs>
                <w:tab w:val="left" w:pos="360"/>
              </w:tabs>
              <w:spacing w:after="0" w:line="480" w:lineRule="auto"/>
              <w:rPr>
                <w:rFonts w:ascii="Times New Roman" w:eastAsia="Times New Roman" w:hAnsi="Times New Roman" w:cs="Times New Roman"/>
                <w:i/>
                <w:color w:val="000000"/>
                <w:sz w:val="24"/>
                <w:szCs w:val="24"/>
              </w:rPr>
            </w:pPr>
            <w:r w:rsidRPr="00BC67E3">
              <w:rPr>
                <w:rFonts w:ascii="Times New Roman" w:hAnsi="Times New Roman" w:cs="Times New Roman"/>
                <w:i/>
                <w:color w:val="000000"/>
                <w:sz w:val="24"/>
                <w:szCs w:val="24"/>
              </w:rPr>
              <w:t>Chionoecetes opilio</w:t>
            </w:r>
          </w:p>
        </w:tc>
        <w:tc>
          <w:tcPr>
            <w:tcW w:w="960" w:type="dxa"/>
            <w:shd w:val="clear" w:color="auto" w:fill="auto"/>
            <w:noWrap/>
            <w:vAlign w:val="bottom"/>
            <w:hideMark/>
          </w:tcPr>
          <w:p w14:paraId="0ADADAA9" w14:textId="62A1D4D8"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28.8</w:t>
            </w:r>
          </w:p>
        </w:tc>
        <w:tc>
          <w:tcPr>
            <w:tcW w:w="960" w:type="dxa"/>
            <w:shd w:val="clear" w:color="auto" w:fill="auto"/>
            <w:noWrap/>
            <w:vAlign w:val="bottom"/>
            <w:hideMark/>
          </w:tcPr>
          <w:p w14:paraId="09034BD5" w14:textId="48272BD6"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1.9</w:t>
            </w:r>
          </w:p>
        </w:tc>
        <w:tc>
          <w:tcPr>
            <w:tcW w:w="1123" w:type="dxa"/>
            <w:shd w:val="clear" w:color="auto" w:fill="auto"/>
            <w:noWrap/>
            <w:vAlign w:val="bottom"/>
            <w:hideMark/>
          </w:tcPr>
          <w:p w14:paraId="5E80D3F6" w14:textId="4B40CE86"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25.4</w:t>
            </w:r>
          </w:p>
        </w:tc>
        <w:tc>
          <w:tcPr>
            <w:tcW w:w="960" w:type="dxa"/>
            <w:shd w:val="clear" w:color="auto" w:fill="auto"/>
            <w:noWrap/>
            <w:vAlign w:val="bottom"/>
            <w:hideMark/>
          </w:tcPr>
          <w:p w14:paraId="0F507D4E" w14:textId="75322D82"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b/>
                <w:color w:val="000000"/>
                <w:sz w:val="24"/>
                <w:szCs w:val="24"/>
              </w:rPr>
              <w:t>0.0</w:t>
            </w:r>
          </w:p>
        </w:tc>
      </w:tr>
      <w:tr w:rsidR="002A4C94" w:rsidRPr="002A4C94" w14:paraId="2E8395D8" w14:textId="77777777" w:rsidTr="00DB3A49">
        <w:trPr>
          <w:trHeight w:val="300"/>
        </w:trPr>
        <w:tc>
          <w:tcPr>
            <w:tcW w:w="4950" w:type="dxa"/>
            <w:shd w:val="clear" w:color="auto" w:fill="auto"/>
            <w:noWrap/>
            <w:vAlign w:val="bottom"/>
            <w:hideMark/>
          </w:tcPr>
          <w:p w14:paraId="482C4E1D" w14:textId="6F19A87E" w:rsidR="002A4C94" w:rsidRPr="00BC67E3" w:rsidRDefault="002A4C94" w:rsidP="002A4C94">
            <w:pPr>
              <w:tabs>
                <w:tab w:val="left" w:pos="360"/>
              </w:tabs>
              <w:spacing w:after="0" w:line="480" w:lineRule="auto"/>
              <w:rPr>
                <w:rFonts w:ascii="Times New Roman" w:eastAsia="Times New Roman" w:hAnsi="Times New Roman" w:cs="Times New Roman"/>
                <w:i/>
                <w:color w:val="000000"/>
                <w:sz w:val="24"/>
                <w:szCs w:val="24"/>
              </w:rPr>
            </w:pPr>
            <w:r w:rsidRPr="00BC67E3">
              <w:rPr>
                <w:rFonts w:ascii="Times New Roman" w:hAnsi="Times New Roman" w:cs="Times New Roman"/>
                <w:i/>
                <w:color w:val="000000"/>
                <w:sz w:val="24"/>
                <w:szCs w:val="24"/>
              </w:rPr>
              <w:t>Hippoglossus stenolepis</w:t>
            </w:r>
          </w:p>
        </w:tc>
        <w:tc>
          <w:tcPr>
            <w:tcW w:w="960" w:type="dxa"/>
            <w:shd w:val="clear" w:color="auto" w:fill="auto"/>
            <w:noWrap/>
            <w:vAlign w:val="bottom"/>
            <w:hideMark/>
          </w:tcPr>
          <w:p w14:paraId="66BD7EC8" w14:textId="783715E2"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232.2</w:t>
            </w:r>
          </w:p>
        </w:tc>
        <w:tc>
          <w:tcPr>
            <w:tcW w:w="960" w:type="dxa"/>
            <w:shd w:val="clear" w:color="auto" w:fill="auto"/>
            <w:noWrap/>
            <w:vAlign w:val="bottom"/>
            <w:hideMark/>
          </w:tcPr>
          <w:p w14:paraId="0EB5AD1B" w14:textId="27D3D0AB"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83.5</w:t>
            </w:r>
          </w:p>
        </w:tc>
        <w:tc>
          <w:tcPr>
            <w:tcW w:w="1123" w:type="dxa"/>
            <w:shd w:val="clear" w:color="auto" w:fill="auto"/>
            <w:noWrap/>
            <w:vAlign w:val="bottom"/>
            <w:hideMark/>
          </w:tcPr>
          <w:p w14:paraId="6ABE8E3E" w14:textId="038179BC"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154.0</w:t>
            </w:r>
          </w:p>
        </w:tc>
        <w:tc>
          <w:tcPr>
            <w:tcW w:w="960" w:type="dxa"/>
            <w:shd w:val="clear" w:color="auto" w:fill="auto"/>
            <w:noWrap/>
            <w:vAlign w:val="bottom"/>
            <w:hideMark/>
          </w:tcPr>
          <w:p w14:paraId="2B63CB86" w14:textId="68F0071F"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b/>
                <w:color w:val="000000"/>
                <w:sz w:val="24"/>
                <w:szCs w:val="24"/>
              </w:rPr>
              <w:t>0.0</w:t>
            </w:r>
          </w:p>
        </w:tc>
      </w:tr>
      <w:tr w:rsidR="002A4C94" w:rsidRPr="002A4C94" w14:paraId="6B9951B8" w14:textId="77777777" w:rsidTr="00DB3A49">
        <w:trPr>
          <w:trHeight w:val="300"/>
        </w:trPr>
        <w:tc>
          <w:tcPr>
            <w:tcW w:w="4950" w:type="dxa"/>
            <w:shd w:val="clear" w:color="auto" w:fill="auto"/>
            <w:noWrap/>
            <w:vAlign w:val="bottom"/>
            <w:hideMark/>
          </w:tcPr>
          <w:p w14:paraId="091841DC" w14:textId="6E466E73" w:rsidR="002A4C94" w:rsidRPr="00BC67E3" w:rsidRDefault="002A4C94" w:rsidP="002A4C94">
            <w:pPr>
              <w:tabs>
                <w:tab w:val="left" w:pos="360"/>
              </w:tabs>
              <w:spacing w:after="0" w:line="480" w:lineRule="auto"/>
              <w:rPr>
                <w:rFonts w:ascii="Times New Roman" w:eastAsia="Times New Roman" w:hAnsi="Times New Roman" w:cs="Times New Roman"/>
                <w:i/>
                <w:color w:val="000000"/>
                <w:sz w:val="24"/>
                <w:szCs w:val="24"/>
              </w:rPr>
            </w:pPr>
            <w:r w:rsidRPr="00BC67E3">
              <w:rPr>
                <w:rFonts w:ascii="Times New Roman" w:hAnsi="Times New Roman" w:cs="Times New Roman"/>
                <w:i/>
                <w:color w:val="000000"/>
                <w:sz w:val="24"/>
                <w:szCs w:val="24"/>
              </w:rPr>
              <w:t>Limanda aspera</w:t>
            </w:r>
          </w:p>
        </w:tc>
        <w:tc>
          <w:tcPr>
            <w:tcW w:w="960" w:type="dxa"/>
            <w:shd w:val="clear" w:color="auto" w:fill="auto"/>
            <w:noWrap/>
            <w:vAlign w:val="bottom"/>
            <w:hideMark/>
          </w:tcPr>
          <w:p w14:paraId="02A345DB" w14:textId="37DB55DD"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88.5</w:t>
            </w:r>
          </w:p>
        </w:tc>
        <w:tc>
          <w:tcPr>
            <w:tcW w:w="960" w:type="dxa"/>
            <w:shd w:val="clear" w:color="auto" w:fill="auto"/>
            <w:noWrap/>
            <w:vAlign w:val="bottom"/>
            <w:hideMark/>
          </w:tcPr>
          <w:p w14:paraId="4CBB8720" w14:textId="5C567412"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b/>
                <w:color w:val="000000"/>
                <w:sz w:val="24"/>
                <w:szCs w:val="24"/>
              </w:rPr>
              <w:t>0.0</w:t>
            </w:r>
          </w:p>
        </w:tc>
        <w:tc>
          <w:tcPr>
            <w:tcW w:w="1123" w:type="dxa"/>
            <w:shd w:val="clear" w:color="auto" w:fill="auto"/>
            <w:noWrap/>
            <w:vAlign w:val="bottom"/>
            <w:hideMark/>
          </w:tcPr>
          <w:p w14:paraId="513BA2AE" w14:textId="7EED1CE0"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86.4</w:t>
            </w:r>
          </w:p>
        </w:tc>
        <w:tc>
          <w:tcPr>
            <w:tcW w:w="960" w:type="dxa"/>
            <w:shd w:val="clear" w:color="auto" w:fill="auto"/>
            <w:noWrap/>
            <w:vAlign w:val="bottom"/>
            <w:hideMark/>
          </w:tcPr>
          <w:p w14:paraId="77DCC5B3" w14:textId="7C00A43D"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3.2</w:t>
            </w:r>
          </w:p>
        </w:tc>
      </w:tr>
      <w:tr w:rsidR="002A4C94" w:rsidRPr="002A4C94" w14:paraId="2ED2432C" w14:textId="77777777" w:rsidTr="00DB3A49">
        <w:trPr>
          <w:trHeight w:val="300"/>
        </w:trPr>
        <w:tc>
          <w:tcPr>
            <w:tcW w:w="4950" w:type="dxa"/>
            <w:shd w:val="clear" w:color="auto" w:fill="auto"/>
            <w:noWrap/>
            <w:vAlign w:val="bottom"/>
            <w:hideMark/>
          </w:tcPr>
          <w:p w14:paraId="73E0FD0C" w14:textId="3C73D4B6" w:rsidR="002A4C94" w:rsidRPr="00BC67E3" w:rsidRDefault="002A4C94" w:rsidP="002A4C94">
            <w:pPr>
              <w:tabs>
                <w:tab w:val="left" w:pos="360"/>
              </w:tabs>
              <w:spacing w:after="0" w:line="480" w:lineRule="auto"/>
              <w:rPr>
                <w:rFonts w:ascii="Times New Roman" w:eastAsia="Times New Roman" w:hAnsi="Times New Roman" w:cs="Times New Roman"/>
                <w:i/>
                <w:color w:val="000000"/>
                <w:sz w:val="24"/>
                <w:szCs w:val="24"/>
              </w:rPr>
            </w:pPr>
            <w:r w:rsidRPr="00BC67E3">
              <w:rPr>
                <w:rFonts w:ascii="Times New Roman" w:hAnsi="Times New Roman" w:cs="Times New Roman"/>
                <w:i/>
                <w:color w:val="000000"/>
                <w:sz w:val="24"/>
                <w:szCs w:val="24"/>
              </w:rPr>
              <w:t>Pleuronectes quadrituberculatus</w:t>
            </w:r>
          </w:p>
        </w:tc>
        <w:tc>
          <w:tcPr>
            <w:tcW w:w="960" w:type="dxa"/>
            <w:shd w:val="clear" w:color="auto" w:fill="auto"/>
            <w:noWrap/>
            <w:vAlign w:val="bottom"/>
            <w:hideMark/>
          </w:tcPr>
          <w:p w14:paraId="1958A348" w14:textId="6D8E340B"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79.7</w:t>
            </w:r>
          </w:p>
        </w:tc>
        <w:tc>
          <w:tcPr>
            <w:tcW w:w="960" w:type="dxa"/>
            <w:shd w:val="clear" w:color="auto" w:fill="auto"/>
            <w:noWrap/>
            <w:vAlign w:val="bottom"/>
            <w:hideMark/>
          </w:tcPr>
          <w:p w14:paraId="787CC69D" w14:textId="678BCA11"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28.1</w:t>
            </w:r>
          </w:p>
        </w:tc>
        <w:tc>
          <w:tcPr>
            <w:tcW w:w="1123" w:type="dxa"/>
            <w:shd w:val="clear" w:color="auto" w:fill="auto"/>
            <w:noWrap/>
            <w:vAlign w:val="bottom"/>
            <w:hideMark/>
          </w:tcPr>
          <w:p w14:paraId="65DC5D7C" w14:textId="7011AE99"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34.8</w:t>
            </w:r>
          </w:p>
        </w:tc>
        <w:tc>
          <w:tcPr>
            <w:tcW w:w="960" w:type="dxa"/>
            <w:shd w:val="clear" w:color="auto" w:fill="auto"/>
            <w:noWrap/>
            <w:vAlign w:val="bottom"/>
            <w:hideMark/>
          </w:tcPr>
          <w:p w14:paraId="51FB3FFA" w14:textId="22A5F605"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b/>
                <w:color w:val="000000"/>
                <w:sz w:val="24"/>
                <w:szCs w:val="24"/>
              </w:rPr>
              <w:t>0.0</w:t>
            </w:r>
          </w:p>
        </w:tc>
      </w:tr>
      <w:tr w:rsidR="002A4C94" w:rsidRPr="002A4C94" w14:paraId="10E7C3BA" w14:textId="77777777" w:rsidTr="00DB3A49">
        <w:trPr>
          <w:trHeight w:val="300"/>
        </w:trPr>
        <w:tc>
          <w:tcPr>
            <w:tcW w:w="4950" w:type="dxa"/>
            <w:shd w:val="clear" w:color="auto" w:fill="auto"/>
            <w:noWrap/>
            <w:vAlign w:val="bottom"/>
            <w:hideMark/>
          </w:tcPr>
          <w:p w14:paraId="5367B14C" w14:textId="00FE43BD" w:rsidR="002A4C94" w:rsidRPr="00BC67E3" w:rsidRDefault="002A4C94" w:rsidP="002A4C94">
            <w:pPr>
              <w:tabs>
                <w:tab w:val="left" w:pos="360"/>
              </w:tabs>
              <w:spacing w:after="0" w:line="480" w:lineRule="auto"/>
              <w:rPr>
                <w:rFonts w:ascii="Times New Roman" w:eastAsia="Times New Roman" w:hAnsi="Times New Roman" w:cs="Times New Roman"/>
                <w:i/>
                <w:color w:val="000000"/>
                <w:sz w:val="24"/>
                <w:szCs w:val="24"/>
              </w:rPr>
            </w:pPr>
            <w:r w:rsidRPr="00BC67E3">
              <w:rPr>
                <w:rFonts w:ascii="Times New Roman" w:hAnsi="Times New Roman" w:cs="Times New Roman"/>
                <w:i/>
                <w:color w:val="000000"/>
                <w:sz w:val="24"/>
                <w:szCs w:val="24"/>
              </w:rPr>
              <w:t>Chionoecetes bairdi</w:t>
            </w:r>
          </w:p>
        </w:tc>
        <w:tc>
          <w:tcPr>
            <w:tcW w:w="960" w:type="dxa"/>
            <w:shd w:val="clear" w:color="auto" w:fill="auto"/>
            <w:noWrap/>
            <w:vAlign w:val="bottom"/>
            <w:hideMark/>
          </w:tcPr>
          <w:p w14:paraId="4C0980EF" w14:textId="0E97D067"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1.4</w:t>
            </w:r>
          </w:p>
        </w:tc>
        <w:tc>
          <w:tcPr>
            <w:tcW w:w="960" w:type="dxa"/>
            <w:shd w:val="clear" w:color="auto" w:fill="auto"/>
            <w:noWrap/>
            <w:vAlign w:val="bottom"/>
            <w:hideMark/>
          </w:tcPr>
          <w:p w14:paraId="23A41FE0" w14:textId="5980E085"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7.6</w:t>
            </w:r>
          </w:p>
        </w:tc>
        <w:tc>
          <w:tcPr>
            <w:tcW w:w="1123" w:type="dxa"/>
            <w:shd w:val="clear" w:color="auto" w:fill="auto"/>
            <w:noWrap/>
            <w:vAlign w:val="bottom"/>
            <w:hideMark/>
          </w:tcPr>
          <w:p w14:paraId="6A67A00D" w14:textId="3349784C"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b/>
                <w:color w:val="000000"/>
                <w:sz w:val="24"/>
                <w:szCs w:val="24"/>
              </w:rPr>
              <w:t>0.0</w:t>
            </w:r>
          </w:p>
        </w:tc>
        <w:tc>
          <w:tcPr>
            <w:tcW w:w="960" w:type="dxa"/>
            <w:shd w:val="clear" w:color="auto" w:fill="auto"/>
            <w:noWrap/>
            <w:vAlign w:val="bottom"/>
            <w:hideMark/>
          </w:tcPr>
          <w:p w14:paraId="2473FE19" w14:textId="5C62A5A2"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5.7</w:t>
            </w:r>
          </w:p>
        </w:tc>
      </w:tr>
      <w:tr w:rsidR="002A4C94" w:rsidRPr="002A4C94" w14:paraId="11C7153A" w14:textId="77777777" w:rsidTr="00DB3A49">
        <w:trPr>
          <w:trHeight w:val="300"/>
        </w:trPr>
        <w:tc>
          <w:tcPr>
            <w:tcW w:w="4950" w:type="dxa"/>
            <w:shd w:val="clear" w:color="auto" w:fill="auto"/>
            <w:noWrap/>
            <w:vAlign w:val="bottom"/>
            <w:hideMark/>
          </w:tcPr>
          <w:p w14:paraId="264C645A" w14:textId="31371961" w:rsidR="002A4C94" w:rsidRPr="00BC67E3" w:rsidRDefault="002A4C94" w:rsidP="002A4C94">
            <w:pPr>
              <w:tabs>
                <w:tab w:val="left" w:pos="360"/>
              </w:tabs>
              <w:spacing w:after="0" w:line="480" w:lineRule="auto"/>
              <w:rPr>
                <w:rFonts w:ascii="Times New Roman" w:eastAsia="Times New Roman" w:hAnsi="Times New Roman" w:cs="Times New Roman"/>
                <w:i/>
                <w:color w:val="000000"/>
                <w:sz w:val="24"/>
                <w:szCs w:val="24"/>
              </w:rPr>
            </w:pPr>
            <w:r w:rsidRPr="00BC67E3">
              <w:rPr>
                <w:rFonts w:ascii="Times New Roman" w:hAnsi="Times New Roman" w:cs="Times New Roman"/>
                <w:i/>
                <w:color w:val="000000"/>
                <w:sz w:val="24"/>
                <w:szCs w:val="24"/>
              </w:rPr>
              <w:t>Podothecus accipenserinus</w:t>
            </w:r>
          </w:p>
        </w:tc>
        <w:tc>
          <w:tcPr>
            <w:tcW w:w="960" w:type="dxa"/>
            <w:shd w:val="clear" w:color="auto" w:fill="auto"/>
            <w:noWrap/>
            <w:vAlign w:val="bottom"/>
            <w:hideMark/>
          </w:tcPr>
          <w:p w14:paraId="5BB2A9DC" w14:textId="75FB5EB0"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230.8</w:t>
            </w:r>
          </w:p>
        </w:tc>
        <w:tc>
          <w:tcPr>
            <w:tcW w:w="960" w:type="dxa"/>
            <w:shd w:val="clear" w:color="auto" w:fill="auto"/>
            <w:noWrap/>
            <w:vAlign w:val="bottom"/>
            <w:hideMark/>
          </w:tcPr>
          <w:p w14:paraId="702B3C9A" w14:textId="2A7C9827"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8.6</w:t>
            </w:r>
          </w:p>
        </w:tc>
        <w:tc>
          <w:tcPr>
            <w:tcW w:w="1123" w:type="dxa"/>
            <w:shd w:val="clear" w:color="auto" w:fill="auto"/>
            <w:noWrap/>
            <w:vAlign w:val="bottom"/>
            <w:hideMark/>
          </w:tcPr>
          <w:p w14:paraId="45C0DE6D" w14:textId="75411810"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176.1</w:t>
            </w:r>
          </w:p>
        </w:tc>
        <w:tc>
          <w:tcPr>
            <w:tcW w:w="960" w:type="dxa"/>
            <w:shd w:val="clear" w:color="auto" w:fill="auto"/>
            <w:noWrap/>
            <w:vAlign w:val="bottom"/>
            <w:hideMark/>
          </w:tcPr>
          <w:p w14:paraId="1321C674" w14:textId="1624AFBF"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b/>
                <w:color w:val="000000"/>
                <w:sz w:val="24"/>
                <w:szCs w:val="24"/>
              </w:rPr>
              <w:t>0.0</w:t>
            </w:r>
          </w:p>
        </w:tc>
      </w:tr>
      <w:tr w:rsidR="002A4C94" w:rsidRPr="002A4C94" w14:paraId="605526F9" w14:textId="77777777" w:rsidTr="00DB3A49">
        <w:trPr>
          <w:trHeight w:val="300"/>
        </w:trPr>
        <w:tc>
          <w:tcPr>
            <w:tcW w:w="4950" w:type="dxa"/>
            <w:shd w:val="clear" w:color="auto" w:fill="auto"/>
            <w:noWrap/>
            <w:vAlign w:val="bottom"/>
            <w:hideMark/>
          </w:tcPr>
          <w:p w14:paraId="1D8617AE" w14:textId="22CE1D01" w:rsidR="002A4C94" w:rsidRPr="00BC67E3" w:rsidRDefault="002A4C94" w:rsidP="002A4C94">
            <w:pPr>
              <w:tabs>
                <w:tab w:val="left" w:pos="360"/>
              </w:tabs>
              <w:spacing w:after="0" w:line="480" w:lineRule="auto"/>
              <w:rPr>
                <w:rFonts w:ascii="Times New Roman" w:eastAsia="Times New Roman" w:hAnsi="Times New Roman" w:cs="Times New Roman"/>
                <w:i/>
                <w:color w:val="000000"/>
                <w:sz w:val="24"/>
                <w:szCs w:val="24"/>
              </w:rPr>
            </w:pPr>
            <w:r w:rsidRPr="00BC67E3">
              <w:rPr>
                <w:rFonts w:ascii="Times New Roman" w:hAnsi="Times New Roman" w:cs="Times New Roman"/>
                <w:i/>
                <w:color w:val="000000"/>
                <w:sz w:val="24"/>
                <w:szCs w:val="24"/>
              </w:rPr>
              <w:t>Atheresthes stomias</w:t>
            </w:r>
          </w:p>
        </w:tc>
        <w:tc>
          <w:tcPr>
            <w:tcW w:w="960" w:type="dxa"/>
            <w:shd w:val="clear" w:color="auto" w:fill="auto"/>
            <w:noWrap/>
            <w:vAlign w:val="bottom"/>
            <w:hideMark/>
          </w:tcPr>
          <w:p w14:paraId="3C473E3C" w14:textId="1CDE10C3"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395.3</w:t>
            </w:r>
          </w:p>
        </w:tc>
        <w:tc>
          <w:tcPr>
            <w:tcW w:w="960" w:type="dxa"/>
            <w:shd w:val="clear" w:color="auto" w:fill="auto"/>
            <w:noWrap/>
            <w:vAlign w:val="bottom"/>
            <w:hideMark/>
          </w:tcPr>
          <w:p w14:paraId="142B5D57" w14:textId="40100F61"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35.0</w:t>
            </w:r>
          </w:p>
        </w:tc>
        <w:tc>
          <w:tcPr>
            <w:tcW w:w="1123" w:type="dxa"/>
            <w:shd w:val="clear" w:color="auto" w:fill="auto"/>
            <w:noWrap/>
            <w:vAlign w:val="bottom"/>
            <w:hideMark/>
          </w:tcPr>
          <w:p w14:paraId="5EA88867" w14:textId="5EF31CF6"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300.3</w:t>
            </w:r>
          </w:p>
        </w:tc>
        <w:tc>
          <w:tcPr>
            <w:tcW w:w="960" w:type="dxa"/>
            <w:shd w:val="clear" w:color="auto" w:fill="auto"/>
            <w:noWrap/>
            <w:vAlign w:val="bottom"/>
            <w:hideMark/>
          </w:tcPr>
          <w:p w14:paraId="0285C14C" w14:textId="24B91CD2"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b/>
                <w:color w:val="000000"/>
                <w:sz w:val="24"/>
                <w:szCs w:val="24"/>
              </w:rPr>
              <w:t>0.0</w:t>
            </w:r>
          </w:p>
        </w:tc>
      </w:tr>
      <w:tr w:rsidR="002A4C94" w:rsidRPr="002A4C94" w14:paraId="3597F51C" w14:textId="77777777" w:rsidTr="00DB3A49">
        <w:trPr>
          <w:trHeight w:val="300"/>
        </w:trPr>
        <w:tc>
          <w:tcPr>
            <w:tcW w:w="4950" w:type="dxa"/>
            <w:shd w:val="clear" w:color="auto" w:fill="auto"/>
            <w:noWrap/>
            <w:vAlign w:val="bottom"/>
            <w:hideMark/>
          </w:tcPr>
          <w:p w14:paraId="3DC4F84D" w14:textId="0BDF3E49" w:rsidR="002A4C94" w:rsidRPr="00BC67E3" w:rsidRDefault="002A4C94" w:rsidP="002A4C94">
            <w:pPr>
              <w:tabs>
                <w:tab w:val="left" w:pos="360"/>
              </w:tabs>
              <w:spacing w:after="0" w:line="480" w:lineRule="auto"/>
              <w:rPr>
                <w:rFonts w:ascii="Times New Roman" w:eastAsia="Times New Roman" w:hAnsi="Times New Roman" w:cs="Times New Roman"/>
                <w:i/>
                <w:color w:val="000000"/>
                <w:sz w:val="24"/>
                <w:szCs w:val="24"/>
              </w:rPr>
            </w:pPr>
            <w:r w:rsidRPr="00BC67E3">
              <w:rPr>
                <w:rFonts w:ascii="Times New Roman" w:hAnsi="Times New Roman" w:cs="Times New Roman"/>
                <w:i/>
                <w:color w:val="000000"/>
                <w:sz w:val="24"/>
                <w:szCs w:val="24"/>
              </w:rPr>
              <w:t>Hyas coarctatus</w:t>
            </w:r>
          </w:p>
        </w:tc>
        <w:tc>
          <w:tcPr>
            <w:tcW w:w="960" w:type="dxa"/>
            <w:shd w:val="clear" w:color="auto" w:fill="auto"/>
            <w:noWrap/>
            <w:vAlign w:val="bottom"/>
            <w:hideMark/>
          </w:tcPr>
          <w:p w14:paraId="48766449" w14:textId="66592983"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27.8</w:t>
            </w:r>
          </w:p>
        </w:tc>
        <w:tc>
          <w:tcPr>
            <w:tcW w:w="960" w:type="dxa"/>
            <w:shd w:val="clear" w:color="auto" w:fill="auto"/>
            <w:noWrap/>
            <w:vAlign w:val="bottom"/>
            <w:hideMark/>
          </w:tcPr>
          <w:p w14:paraId="00F214D9" w14:textId="1409AD3B"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2.4</w:t>
            </w:r>
          </w:p>
        </w:tc>
        <w:tc>
          <w:tcPr>
            <w:tcW w:w="1123" w:type="dxa"/>
            <w:shd w:val="clear" w:color="auto" w:fill="auto"/>
            <w:noWrap/>
            <w:vAlign w:val="bottom"/>
            <w:hideMark/>
          </w:tcPr>
          <w:p w14:paraId="62167184" w14:textId="1AA512BB"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23.0</w:t>
            </w:r>
          </w:p>
        </w:tc>
        <w:tc>
          <w:tcPr>
            <w:tcW w:w="960" w:type="dxa"/>
            <w:shd w:val="clear" w:color="auto" w:fill="auto"/>
            <w:noWrap/>
            <w:vAlign w:val="bottom"/>
            <w:hideMark/>
          </w:tcPr>
          <w:p w14:paraId="120DC700" w14:textId="6EC56767"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b/>
                <w:color w:val="000000"/>
                <w:sz w:val="24"/>
                <w:szCs w:val="24"/>
              </w:rPr>
              <w:t>0.0</w:t>
            </w:r>
          </w:p>
        </w:tc>
      </w:tr>
      <w:tr w:rsidR="002A4C94" w:rsidRPr="002A4C94" w14:paraId="3AB3EE98" w14:textId="77777777" w:rsidTr="00DB3A49">
        <w:trPr>
          <w:trHeight w:val="300"/>
        </w:trPr>
        <w:tc>
          <w:tcPr>
            <w:tcW w:w="4950" w:type="dxa"/>
            <w:shd w:val="clear" w:color="auto" w:fill="auto"/>
            <w:noWrap/>
            <w:vAlign w:val="bottom"/>
            <w:hideMark/>
          </w:tcPr>
          <w:p w14:paraId="21A31029" w14:textId="59BA4E7E" w:rsidR="002A4C94" w:rsidRPr="00BC67E3" w:rsidRDefault="002A4C94" w:rsidP="002A4C94">
            <w:pPr>
              <w:tabs>
                <w:tab w:val="left" w:pos="360"/>
              </w:tabs>
              <w:spacing w:after="0" w:line="480" w:lineRule="auto"/>
              <w:rPr>
                <w:rFonts w:ascii="Times New Roman" w:eastAsia="Times New Roman" w:hAnsi="Times New Roman" w:cs="Times New Roman"/>
                <w:i/>
                <w:color w:val="000000"/>
                <w:sz w:val="24"/>
                <w:szCs w:val="24"/>
              </w:rPr>
            </w:pPr>
            <w:r w:rsidRPr="00BC67E3">
              <w:rPr>
                <w:rFonts w:ascii="Times New Roman" w:hAnsi="Times New Roman" w:cs="Times New Roman"/>
                <w:i/>
                <w:color w:val="000000"/>
                <w:sz w:val="24"/>
                <w:szCs w:val="24"/>
              </w:rPr>
              <w:t>Myoxocephalus polyacanthocephalus</w:t>
            </w:r>
          </w:p>
        </w:tc>
        <w:tc>
          <w:tcPr>
            <w:tcW w:w="960" w:type="dxa"/>
            <w:shd w:val="clear" w:color="auto" w:fill="auto"/>
            <w:noWrap/>
            <w:vAlign w:val="bottom"/>
            <w:hideMark/>
          </w:tcPr>
          <w:p w14:paraId="07AFB855" w14:textId="4CDA6C22"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83.5</w:t>
            </w:r>
          </w:p>
        </w:tc>
        <w:tc>
          <w:tcPr>
            <w:tcW w:w="960" w:type="dxa"/>
            <w:shd w:val="clear" w:color="auto" w:fill="auto"/>
            <w:noWrap/>
            <w:vAlign w:val="bottom"/>
            <w:hideMark/>
          </w:tcPr>
          <w:p w14:paraId="7B3F5AA2" w14:textId="4A8E7F24"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11.7</w:t>
            </w:r>
          </w:p>
        </w:tc>
        <w:tc>
          <w:tcPr>
            <w:tcW w:w="1123" w:type="dxa"/>
            <w:shd w:val="clear" w:color="auto" w:fill="auto"/>
            <w:noWrap/>
            <w:vAlign w:val="bottom"/>
            <w:hideMark/>
          </w:tcPr>
          <w:p w14:paraId="4884FD2D" w14:textId="256CBD40"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55.3</w:t>
            </w:r>
          </w:p>
        </w:tc>
        <w:tc>
          <w:tcPr>
            <w:tcW w:w="960" w:type="dxa"/>
            <w:shd w:val="clear" w:color="auto" w:fill="auto"/>
            <w:noWrap/>
            <w:vAlign w:val="bottom"/>
            <w:hideMark/>
          </w:tcPr>
          <w:p w14:paraId="30F178CC" w14:textId="3A3B6BAF"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b/>
                <w:color w:val="000000"/>
                <w:sz w:val="24"/>
                <w:szCs w:val="24"/>
              </w:rPr>
              <w:t>0.0</w:t>
            </w:r>
          </w:p>
        </w:tc>
      </w:tr>
      <w:tr w:rsidR="002A4C94" w:rsidRPr="002A4C94" w14:paraId="55C1EEF4" w14:textId="77777777" w:rsidTr="00DB3A49">
        <w:trPr>
          <w:trHeight w:val="300"/>
        </w:trPr>
        <w:tc>
          <w:tcPr>
            <w:tcW w:w="4950" w:type="dxa"/>
            <w:shd w:val="clear" w:color="auto" w:fill="auto"/>
            <w:noWrap/>
            <w:vAlign w:val="bottom"/>
            <w:hideMark/>
          </w:tcPr>
          <w:p w14:paraId="23D517CF" w14:textId="399F9806" w:rsidR="002A4C94" w:rsidRPr="00BC67E3" w:rsidRDefault="002A4C94" w:rsidP="002A4C94">
            <w:pPr>
              <w:tabs>
                <w:tab w:val="left" w:pos="360"/>
              </w:tabs>
              <w:spacing w:after="0" w:line="480" w:lineRule="auto"/>
              <w:rPr>
                <w:rFonts w:ascii="Times New Roman" w:eastAsia="Times New Roman" w:hAnsi="Times New Roman" w:cs="Times New Roman"/>
                <w:i/>
                <w:color w:val="000000"/>
                <w:sz w:val="24"/>
                <w:szCs w:val="24"/>
              </w:rPr>
            </w:pPr>
            <w:r w:rsidRPr="00BC67E3">
              <w:rPr>
                <w:rFonts w:ascii="Times New Roman" w:hAnsi="Times New Roman" w:cs="Times New Roman"/>
                <w:i/>
                <w:color w:val="000000"/>
                <w:sz w:val="24"/>
                <w:szCs w:val="24"/>
              </w:rPr>
              <w:t>Lycodes palearis</w:t>
            </w:r>
          </w:p>
        </w:tc>
        <w:tc>
          <w:tcPr>
            <w:tcW w:w="960" w:type="dxa"/>
            <w:shd w:val="clear" w:color="auto" w:fill="auto"/>
            <w:noWrap/>
            <w:vAlign w:val="bottom"/>
            <w:hideMark/>
          </w:tcPr>
          <w:p w14:paraId="40FF2AD4" w14:textId="0772F548"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129.2</w:t>
            </w:r>
          </w:p>
        </w:tc>
        <w:tc>
          <w:tcPr>
            <w:tcW w:w="960" w:type="dxa"/>
            <w:shd w:val="clear" w:color="auto" w:fill="auto"/>
            <w:noWrap/>
            <w:vAlign w:val="bottom"/>
            <w:hideMark/>
          </w:tcPr>
          <w:p w14:paraId="181ADD90" w14:textId="70901358"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1.1</w:t>
            </w:r>
          </w:p>
        </w:tc>
        <w:tc>
          <w:tcPr>
            <w:tcW w:w="1123" w:type="dxa"/>
            <w:shd w:val="clear" w:color="auto" w:fill="auto"/>
            <w:noWrap/>
            <w:vAlign w:val="bottom"/>
            <w:hideMark/>
          </w:tcPr>
          <w:p w14:paraId="59B288EB" w14:textId="3EBDD41F"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98.3</w:t>
            </w:r>
          </w:p>
        </w:tc>
        <w:tc>
          <w:tcPr>
            <w:tcW w:w="960" w:type="dxa"/>
            <w:shd w:val="clear" w:color="auto" w:fill="auto"/>
            <w:noWrap/>
            <w:vAlign w:val="bottom"/>
            <w:hideMark/>
          </w:tcPr>
          <w:p w14:paraId="313B94A3" w14:textId="305C42F7"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b/>
                <w:color w:val="000000"/>
                <w:sz w:val="24"/>
                <w:szCs w:val="24"/>
              </w:rPr>
              <w:t>0.0</w:t>
            </w:r>
          </w:p>
        </w:tc>
      </w:tr>
      <w:tr w:rsidR="002A4C94" w:rsidRPr="002A4C94" w14:paraId="4FA202B1" w14:textId="77777777" w:rsidTr="00DB3A49">
        <w:trPr>
          <w:trHeight w:val="300"/>
        </w:trPr>
        <w:tc>
          <w:tcPr>
            <w:tcW w:w="4950" w:type="dxa"/>
            <w:shd w:val="clear" w:color="auto" w:fill="auto"/>
            <w:noWrap/>
            <w:vAlign w:val="bottom"/>
            <w:hideMark/>
          </w:tcPr>
          <w:p w14:paraId="0BF8FA42" w14:textId="29B595A2" w:rsidR="002A4C94" w:rsidRPr="00BC67E3" w:rsidRDefault="002A4C94" w:rsidP="002A4C94">
            <w:pPr>
              <w:tabs>
                <w:tab w:val="left" w:pos="360"/>
              </w:tabs>
              <w:spacing w:after="0" w:line="480" w:lineRule="auto"/>
              <w:rPr>
                <w:rFonts w:ascii="Times New Roman" w:eastAsia="Times New Roman" w:hAnsi="Times New Roman" w:cs="Times New Roman"/>
                <w:i/>
                <w:color w:val="000000"/>
                <w:sz w:val="24"/>
                <w:szCs w:val="24"/>
              </w:rPr>
            </w:pPr>
            <w:r w:rsidRPr="00BC67E3">
              <w:rPr>
                <w:rFonts w:ascii="Times New Roman" w:hAnsi="Times New Roman" w:cs="Times New Roman"/>
                <w:i/>
                <w:color w:val="000000"/>
                <w:sz w:val="24"/>
                <w:szCs w:val="24"/>
              </w:rPr>
              <w:t>Myoxocephalus jaok</w:t>
            </w:r>
          </w:p>
        </w:tc>
        <w:tc>
          <w:tcPr>
            <w:tcW w:w="960" w:type="dxa"/>
            <w:shd w:val="clear" w:color="auto" w:fill="auto"/>
            <w:noWrap/>
            <w:vAlign w:val="bottom"/>
            <w:hideMark/>
          </w:tcPr>
          <w:p w14:paraId="69A573DD" w14:textId="3BCACE13"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103.9</w:t>
            </w:r>
          </w:p>
        </w:tc>
        <w:tc>
          <w:tcPr>
            <w:tcW w:w="960" w:type="dxa"/>
            <w:shd w:val="clear" w:color="auto" w:fill="auto"/>
            <w:noWrap/>
            <w:vAlign w:val="bottom"/>
            <w:hideMark/>
          </w:tcPr>
          <w:p w14:paraId="0B5AE6D7" w14:textId="2421A11C"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23.6</w:t>
            </w:r>
          </w:p>
        </w:tc>
        <w:tc>
          <w:tcPr>
            <w:tcW w:w="1123" w:type="dxa"/>
            <w:shd w:val="clear" w:color="auto" w:fill="auto"/>
            <w:noWrap/>
            <w:vAlign w:val="bottom"/>
            <w:hideMark/>
          </w:tcPr>
          <w:p w14:paraId="39567BC1" w14:textId="45BEB2A1"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74.2</w:t>
            </w:r>
          </w:p>
        </w:tc>
        <w:tc>
          <w:tcPr>
            <w:tcW w:w="960" w:type="dxa"/>
            <w:shd w:val="clear" w:color="auto" w:fill="auto"/>
            <w:noWrap/>
            <w:vAlign w:val="bottom"/>
            <w:hideMark/>
          </w:tcPr>
          <w:p w14:paraId="45D6770D" w14:textId="3601302B"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b/>
                <w:color w:val="000000"/>
                <w:sz w:val="24"/>
                <w:szCs w:val="24"/>
              </w:rPr>
              <w:t>0.0</w:t>
            </w:r>
          </w:p>
        </w:tc>
      </w:tr>
      <w:tr w:rsidR="002A4C94" w:rsidRPr="002A4C94" w14:paraId="749C6528" w14:textId="77777777" w:rsidTr="00DB3A49">
        <w:trPr>
          <w:trHeight w:val="300"/>
        </w:trPr>
        <w:tc>
          <w:tcPr>
            <w:tcW w:w="4950" w:type="dxa"/>
            <w:shd w:val="clear" w:color="auto" w:fill="auto"/>
            <w:noWrap/>
            <w:vAlign w:val="bottom"/>
            <w:hideMark/>
          </w:tcPr>
          <w:p w14:paraId="154E1965" w14:textId="391337E4" w:rsidR="002A4C94" w:rsidRPr="00BC67E3" w:rsidRDefault="002A4C94" w:rsidP="002A4C94">
            <w:pPr>
              <w:tabs>
                <w:tab w:val="left" w:pos="360"/>
              </w:tabs>
              <w:spacing w:after="0" w:line="480" w:lineRule="auto"/>
              <w:rPr>
                <w:rFonts w:ascii="Times New Roman" w:eastAsia="Times New Roman" w:hAnsi="Times New Roman" w:cs="Times New Roman"/>
                <w:i/>
                <w:color w:val="000000"/>
                <w:sz w:val="24"/>
                <w:szCs w:val="24"/>
              </w:rPr>
            </w:pPr>
            <w:r w:rsidRPr="00BC67E3">
              <w:rPr>
                <w:rFonts w:ascii="Times New Roman" w:hAnsi="Times New Roman" w:cs="Times New Roman"/>
                <w:i/>
                <w:color w:val="000000"/>
                <w:sz w:val="24"/>
                <w:szCs w:val="24"/>
              </w:rPr>
              <w:t>Hyas lyratus</w:t>
            </w:r>
          </w:p>
        </w:tc>
        <w:tc>
          <w:tcPr>
            <w:tcW w:w="960" w:type="dxa"/>
            <w:shd w:val="clear" w:color="auto" w:fill="auto"/>
            <w:noWrap/>
            <w:vAlign w:val="bottom"/>
            <w:hideMark/>
          </w:tcPr>
          <w:p w14:paraId="7030EA0A" w14:textId="7EDE6A58"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0.1</w:t>
            </w:r>
          </w:p>
        </w:tc>
        <w:tc>
          <w:tcPr>
            <w:tcW w:w="960" w:type="dxa"/>
            <w:shd w:val="clear" w:color="auto" w:fill="auto"/>
            <w:noWrap/>
            <w:vAlign w:val="bottom"/>
            <w:hideMark/>
          </w:tcPr>
          <w:p w14:paraId="1F8F843C" w14:textId="65CC8D99"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b/>
                <w:color w:val="000000"/>
                <w:sz w:val="24"/>
                <w:szCs w:val="24"/>
              </w:rPr>
              <w:t>0.0</w:t>
            </w:r>
          </w:p>
        </w:tc>
        <w:tc>
          <w:tcPr>
            <w:tcW w:w="1123" w:type="dxa"/>
            <w:shd w:val="clear" w:color="auto" w:fill="auto"/>
            <w:noWrap/>
            <w:vAlign w:val="bottom"/>
            <w:hideMark/>
          </w:tcPr>
          <w:p w14:paraId="5FD0BC59" w14:textId="368806CD"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2.9</w:t>
            </w:r>
          </w:p>
        </w:tc>
        <w:tc>
          <w:tcPr>
            <w:tcW w:w="960" w:type="dxa"/>
            <w:shd w:val="clear" w:color="auto" w:fill="auto"/>
            <w:noWrap/>
            <w:vAlign w:val="bottom"/>
            <w:hideMark/>
          </w:tcPr>
          <w:p w14:paraId="65D69844" w14:textId="2A0720E6"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3.4</w:t>
            </w:r>
          </w:p>
        </w:tc>
      </w:tr>
      <w:tr w:rsidR="002A4C94" w:rsidRPr="002A4C94" w14:paraId="7AD04AA4" w14:textId="77777777" w:rsidTr="00DB3A49">
        <w:trPr>
          <w:trHeight w:val="300"/>
        </w:trPr>
        <w:tc>
          <w:tcPr>
            <w:tcW w:w="4950" w:type="dxa"/>
            <w:shd w:val="clear" w:color="auto" w:fill="auto"/>
            <w:noWrap/>
            <w:vAlign w:val="bottom"/>
            <w:hideMark/>
          </w:tcPr>
          <w:p w14:paraId="2EE1A46C" w14:textId="186E5F1A" w:rsidR="002A4C94" w:rsidRPr="00BC67E3" w:rsidRDefault="002A4C94" w:rsidP="002A4C94">
            <w:pPr>
              <w:tabs>
                <w:tab w:val="left" w:pos="360"/>
              </w:tabs>
              <w:spacing w:after="0" w:line="480" w:lineRule="auto"/>
              <w:rPr>
                <w:rFonts w:ascii="Times New Roman" w:eastAsia="Times New Roman" w:hAnsi="Times New Roman" w:cs="Times New Roman"/>
                <w:i/>
                <w:color w:val="000000"/>
                <w:sz w:val="24"/>
                <w:szCs w:val="24"/>
              </w:rPr>
            </w:pPr>
            <w:r w:rsidRPr="00BC67E3">
              <w:rPr>
                <w:rFonts w:ascii="Times New Roman" w:hAnsi="Times New Roman" w:cs="Times New Roman"/>
                <w:i/>
                <w:color w:val="000000"/>
                <w:sz w:val="24"/>
                <w:szCs w:val="24"/>
              </w:rPr>
              <w:t>Paralithodes camtschaticus</w:t>
            </w:r>
          </w:p>
        </w:tc>
        <w:tc>
          <w:tcPr>
            <w:tcW w:w="960" w:type="dxa"/>
            <w:shd w:val="clear" w:color="auto" w:fill="auto"/>
            <w:noWrap/>
            <w:vAlign w:val="bottom"/>
            <w:hideMark/>
          </w:tcPr>
          <w:p w14:paraId="216D8480" w14:textId="20A202DC"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45.8</w:t>
            </w:r>
          </w:p>
        </w:tc>
        <w:tc>
          <w:tcPr>
            <w:tcW w:w="960" w:type="dxa"/>
            <w:shd w:val="clear" w:color="auto" w:fill="auto"/>
            <w:noWrap/>
            <w:vAlign w:val="bottom"/>
            <w:hideMark/>
          </w:tcPr>
          <w:p w14:paraId="0180DDFF" w14:textId="7F6E95EC"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7.2</w:t>
            </w:r>
          </w:p>
        </w:tc>
        <w:tc>
          <w:tcPr>
            <w:tcW w:w="1123" w:type="dxa"/>
            <w:shd w:val="clear" w:color="auto" w:fill="auto"/>
            <w:noWrap/>
            <w:vAlign w:val="bottom"/>
            <w:hideMark/>
          </w:tcPr>
          <w:p w14:paraId="47D13BA7" w14:textId="081F51F3"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35.2</w:t>
            </w:r>
          </w:p>
        </w:tc>
        <w:tc>
          <w:tcPr>
            <w:tcW w:w="960" w:type="dxa"/>
            <w:shd w:val="clear" w:color="auto" w:fill="auto"/>
            <w:noWrap/>
            <w:vAlign w:val="bottom"/>
            <w:hideMark/>
          </w:tcPr>
          <w:p w14:paraId="40EA6277" w14:textId="6D84C7F2"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b/>
                <w:color w:val="000000"/>
                <w:sz w:val="24"/>
                <w:szCs w:val="24"/>
              </w:rPr>
              <w:t>0.0</w:t>
            </w:r>
          </w:p>
        </w:tc>
      </w:tr>
      <w:tr w:rsidR="002A4C94" w:rsidRPr="002A4C94" w14:paraId="2FC43966" w14:textId="77777777" w:rsidTr="00DB3A49">
        <w:trPr>
          <w:trHeight w:val="300"/>
        </w:trPr>
        <w:tc>
          <w:tcPr>
            <w:tcW w:w="4950" w:type="dxa"/>
            <w:shd w:val="clear" w:color="auto" w:fill="auto"/>
            <w:noWrap/>
            <w:vAlign w:val="bottom"/>
            <w:hideMark/>
          </w:tcPr>
          <w:p w14:paraId="23CC667F" w14:textId="47A5C604" w:rsidR="002A4C94" w:rsidRPr="00BC67E3" w:rsidRDefault="002A4C94" w:rsidP="002A4C94">
            <w:pPr>
              <w:tabs>
                <w:tab w:val="left" w:pos="360"/>
              </w:tabs>
              <w:spacing w:after="0" w:line="480" w:lineRule="auto"/>
              <w:rPr>
                <w:rFonts w:ascii="Times New Roman" w:eastAsia="Times New Roman" w:hAnsi="Times New Roman" w:cs="Times New Roman"/>
                <w:i/>
                <w:color w:val="000000"/>
                <w:sz w:val="24"/>
                <w:szCs w:val="24"/>
              </w:rPr>
            </w:pPr>
            <w:r w:rsidRPr="00BC67E3">
              <w:rPr>
                <w:rFonts w:ascii="Times New Roman" w:hAnsi="Times New Roman" w:cs="Times New Roman"/>
                <w:i/>
                <w:color w:val="000000"/>
                <w:sz w:val="24"/>
                <w:szCs w:val="24"/>
              </w:rPr>
              <w:t>Lycodes brevipes</w:t>
            </w:r>
          </w:p>
        </w:tc>
        <w:tc>
          <w:tcPr>
            <w:tcW w:w="960" w:type="dxa"/>
            <w:shd w:val="clear" w:color="auto" w:fill="auto"/>
            <w:noWrap/>
            <w:vAlign w:val="bottom"/>
            <w:hideMark/>
          </w:tcPr>
          <w:p w14:paraId="7384E5C8" w14:textId="0B823F12"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4.1</w:t>
            </w:r>
          </w:p>
        </w:tc>
        <w:tc>
          <w:tcPr>
            <w:tcW w:w="960" w:type="dxa"/>
            <w:shd w:val="clear" w:color="auto" w:fill="auto"/>
            <w:noWrap/>
            <w:vAlign w:val="bottom"/>
            <w:hideMark/>
          </w:tcPr>
          <w:p w14:paraId="4C702D14" w14:textId="44F5F4CA"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b/>
                <w:color w:val="000000"/>
                <w:sz w:val="24"/>
                <w:szCs w:val="24"/>
              </w:rPr>
              <w:t>0.0</w:t>
            </w:r>
          </w:p>
        </w:tc>
        <w:tc>
          <w:tcPr>
            <w:tcW w:w="1123" w:type="dxa"/>
            <w:shd w:val="clear" w:color="auto" w:fill="auto"/>
            <w:noWrap/>
            <w:vAlign w:val="bottom"/>
            <w:hideMark/>
          </w:tcPr>
          <w:p w14:paraId="067E4930" w14:textId="173D6503"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7.5</w:t>
            </w:r>
          </w:p>
        </w:tc>
        <w:tc>
          <w:tcPr>
            <w:tcW w:w="960" w:type="dxa"/>
            <w:shd w:val="clear" w:color="auto" w:fill="auto"/>
            <w:noWrap/>
            <w:vAlign w:val="bottom"/>
            <w:hideMark/>
          </w:tcPr>
          <w:p w14:paraId="35CA5FA6" w14:textId="536923C8" w:rsidR="002A4C94" w:rsidRPr="002A4C94" w:rsidRDefault="002A4C94" w:rsidP="002A4C94">
            <w:pPr>
              <w:tabs>
                <w:tab w:val="left" w:pos="360"/>
              </w:tabs>
              <w:spacing w:after="0" w:line="480" w:lineRule="auto"/>
              <w:jc w:val="right"/>
              <w:rPr>
                <w:rFonts w:ascii="Times New Roman" w:eastAsia="Times New Roman" w:hAnsi="Times New Roman" w:cs="Times New Roman"/>
                <w:color w:val="000000"/>
                <w:sz w:val="24"/>
                <w:szCs w:val="24"/>
              </w:rPr>
            </w:pPr>
            <w:r w:rsidRPr="002A4C94">
              <w:rPr>
                <w:rFonts w:ascii="Times New Roman" w:hAnsi="Times New Roman" w:cs="Times New Roman"/>
                <w:color w:val="000000"/>
                <w:sz w:val="24"/>
                <w:szCs w:val="24"/>
              </w:rPr>
              <w:t>3.0</w:t>
            </w:r>
          </w:p>
        </w:tc>
      </w:tr>
    </w:tbl>
    <w:p w14:paraId="6CF29550" w14:textId="3157076A" w:rsidR="004450BD" w:rsidRDefault="004450BD" w:rsidP="00B46FB7">
      <w:pPr>
        <w:tabs>
          <w:tab w:val="left" w:pos="360"/>
        </w:tabs>
        <w:spacing w:after="0" w:line="480" w:lineRule="auto"/>
        <w:rPr>
          <w:rFonts w:ascii="Times New Roman" w:hAnsi="Times New Roman" w:cs="Times New Roman"/>
          <w:sz w:val="24"/>
          <w:szCs w:val="24"/>
        </w:rPr>
      </w:pPr>
    </w:p>
    <w:p w14:paraId="72C42FF7" w14:textId="77777777" w:rsidR="004450BD" w:rsidRPr="00583253" w:rsidRDefault="004450BD" w:rsidP="00B46FB7">
      <w:pPr>
        <w:tabs>
          <w:tab w:val="left" w:pos="360"/>
        </w:tabs>
        <w:spacing w:after="0" w:line="480" w:lineRule="auto"/>
        <w:rPr>
          <w:rFonts w:ascii="Times New Roman" w:hAnsi="Times New Roman" w:cs="Times New Roman"/>
          <w:sz w:val="24"/>
          <w:szCs w:val="24"/>
        </w:rPr>
      </w:pPr>
    </w:p>
    <w:p w14:paraId="2BB3BF71" w14:textId="6FA4C6D6" w:rsidR="00262CA4" w:rsidRDefault="00262CA4" w:rsidP="00B46FB7">
      <w:pPr>
        <w:tabs>
          <w:tab w:val="left" w:pos="360"/>
        </w:tabs>
        <w:spacing w:after="0" w:line="480" w:lineRule="auto"/>
        <w:rPr>
          <w:rFonts w:ascii="Times New Roman" w:hAnsi="Times New Roman" w:cs="Times New Roman"/>
          <w:sz w:val="24"/>
          <w:szCs w:val="24"/>
        </w:rPr>
      </w:pPr>
    </w:p>
    <w:p w14:paraId="0AFCDD19" w14:textId="77777777" w:rsidR="009174AC" w:rsidRDefault="009174AC"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1F6D003F" w14:textId="5A6212E9" w:rsidR="00C64FA1" w:rsidRDefault="00C64FA1"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1:  </w:t>
      </w:r>
      <w:r w:rsidR="00855C88">
        <w:rPr>
          <w:rFonts w:ascii="Times New Roman" w:hAnsi="Times New Roman" w:cs="Times New Roman"/>
          <w:sz w:val="24"/>
          <w:szCs w:val="24"/>
        </w:rPr>
        <w:t xml:space="preserve">Maps showing local bottom temperatures </w:t>
      </w:r>
      <w:r w:rsidR="003A5AC1">
        <w:rPr>
          <w:rFonts w:ascii="Times New Roman" w:hAnsi="Times New Roman" w:cs="Times New Roman"/>
          <w:sz w:val="24"/>
          <w:szCs w:val="24"/>
        </w:rPr>
        <w:t xml:space="preserve">in each year 1982-2017 </w:t>
      </w:r>
      <w:r w:rsidR="00855C88">
        <w:rPr>
          <w:rFonts w:ascii="Times New Roman" w:hAnsi="Times New Roman" w:cs="Times New Roman"/>
          <w:sz w:val="24"/>
          <w:szCs w:val="24"/>
        </w:rPr>
        <w:t>for each of 200 “knots” used within VAST to approximate spatio-temporal variation in density for each modeled species</w:t>
      </w:r>
      <w:r w:rsidR="00154E79">
        <w:rPr>
          <w:rFonts w:ascii="Times New Roman" w:hAnsi="Times New Roman" w:cs="Times New Roman"/>
          <w:sz w:val="24"/>
          <w:szCs w:val="24"/>
        </w:rPr>
        <w:t xml:space="preserve"> (see colorbar left in bottom-right panel; blue represents low temperatures and red represents high temperatures)</w:t>
      </w:r>
      <w:r w:rsidR="00855C88">
        <w:rPr>
          <w:rFonts w:ascii="Times New Roman" w:hAnsi="Times New Roman" w:cs="Times New Roman"/>
          <w:sz w:val="24"/>
          <w:szCs w:val="24"/>
        </w:rPr>
        <w:t xml:space="preserve">.  </w:t>
      </w:r>
    </w:p>
    <w:p w14:paraId="1DFAC0F1" w14:textId="21731ED7" w:rsidR="00C64FA1" w:rsidRDefault="00154E79" w:rsidP="00B46FB7">
      <w:pPr>
        <w:tabs>
          <w:tab w:val="left" w:pos="360"/>
        </w:tabs>
        <w:spacing w:after="0" w:line="480" w:lineRule="auto"/>
        <w:rPr>
          <w:rFonts w:ascii="Times New Roman" w:hAnsi="Times New Roman" w:cs="Times New Roman"/>
          <w:sz w:val="24"/>
          <w:szCs w:val="24"/>
        </w:rPr>
      </w:pPr>
      <w:r w:rsidRPr="00154E79">
        <w:rPr>
          <w:rFonts w:ascii="Times New Roman" w:hAnsi="Times New Roman" w:cs="Times New Roman"/>
          <w:noProof/>
          <w:sz w:val="24"/>
          <w:szCs w:val="24"/>
        </w:rPr>
        <w:drawing>
          <wp:inline distT="0" distB="0" distL="0" distR="0" wp14:anchorId="798183C5" wp14:editId="2E0A9727">
            <wp:extent cx="5943600" cy="5943600"/>
            <wp:effectExtent l="0" t="0" r="0" b="0"/>
            <wp:docPr id="1" name="Picture 1" descr="F:\UW Hideaway (SyncBackFree)\Collaborations\2019 -- Varying-coefficient models\2019-01-17\Fig_1_Bottom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W Hideaway (SyncBackFree)\Collaborations\2019 -- Varying-coefficient models\2019-01-17\Fig_1_BottomTem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7DFBFA4" w14:textId="77777777" w:rsidR="0025432A" w:rsidRDefault="0025432A" w:rsidP="00B46FB7">
      <w:pPr>
        <w:tabs>
          <w:tab w:val="left" w:pos="360"/>
        </w:tabs>
        <w:spacing w:after="0" w:line="480" w:lineRule="auto"/>
        <w:rPr>
          <w:rFonts w:ascii="Times New Roman" w:hAnsi="Times New Roman" w:cs="Times New Roman"/>
          <w:sz w:val="24"/>
          <w:szCs w:val="24"/>
        </w:rPr>
      </w:pPr>
    </w:p>
    <w:p w14:paraId="12A91AE9" w14:textId="77777777" w:rsidR="009174AC" w:rsidRDefault="009174AC"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24708B38" w14:textId="2775FF96" w:rsidR="00C64FA1" w:rsidRDefault="00C64FA1"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2:  </w:t>
      </w:r>
      <w:r w:rsidR="003A2725">
        <w:rPr>
          <w:rFonts w:ascii="Times New Roman" w:hAnsi="Times New Roman" w:cs="Times New Roman"/>
          <w:sz w:val="24"/>
          <w:szCs w:val="24"/>
        </w:rPr>
        <w:t>Time-series showing extent of cold-pool in the Eastern Bering Sea for modeled years, 1982-2017</w:t>
      </w:r>
      <w:r w:rsidR="002E0F0B">
        <w:rPr>
          <w:rFonts w:ascii="Times New Roman" w:hAnsi="Times New Roman" w:cs="Times New Roman"/>
          <w:sz w:val="24"/>
          <w:szCs w:val="24"/>
        </w:rPr>
        <w:t xml:space="preserve"> (x-axis)</w:t>
      </w:r>
      <w:r w:rsidR="003A2725">
        <w:rPr>
          <w:rFonts w:ascii="Times New Roman" w:hAnsi="Times New Roman" w:cs="Times New Roman"/>
          <w:sz w:val="24"/>
          <w:szCs w:val="24"/>
        </w:rPr>
        <w:t xml:space="preserve">, where the cold-pool is measured as the area with bottom temperatures at or below </w:t>
      </w:r>
      <m:oMath>
        <m:r>
          <w:rPr>
            <w:rFonts w:ascii="Cambria Math" w:hAnsi="Cambria Math" w:cs="Times New Roman"/>
            <w:sz w:val="24"/>
            <w:szCs w:val="24"/>
          </w:rPr>
          <m:t>2° C</m:t>
        </m:r>
      </m:oMath>
      <w:r w:rsidR="003A2725">
        <w:rPr>
          <w:rFonts w:ascii="Times New Roman" w:eastAsiaTheme="minorEastAsia" w:hAnsi="Times New Roman" w:cs="Times New Roman"/>
          <w:sz w:val="24"/>
          <w:szCs w:val="24"/>
        </w:rPr>
        <w:t xml:space="preserve">.  </w:t>
      </w:r>
      <w:r w:rsidR="00DB3A49">
        <w:rPr>
          <w:rFonts w:ascii="Times New Roman" w:eastAsiaTheme="minorEastAsia" w:hAnsi="Times New Roman" w:cs="Times New Roman"/>
          <w:sz w:val="24"/>
          <w:szCs w:val="24"/>
        </w:rPr>
        <w:t xml:space="preserve">The time-series is </w:t>
      </w:r>
      <w:r w:rsidR="002E0F0B">
        <w:rPr>
          <w:rFonts w:ascii="Times New Roman" w:eastAsiaTheme="minorEastAsia" w:hAnsi="Times New Roman" w:cs="Times New Roman"/>
          <w:sz w:val="24"/>
          <w:szCs w:val="24"/>
        </w:rPr>
        <w:t xml:space="preserve">labeled both for the measured value (left-hand y-axis label) and the standardized value (right-hand y-axis label), where the standardized value is included in the model.  </w:t>
      </w:r>
    </w:p>
    <w:p w14:paraId="0B6A5EDE" w14:textId="281A5E4A" w:rsidR="009174AC" w:rsidRDefault="00D90B6D" w:rsidP="00B46FB7">
      <w:pPr>
        <w:tabs>
          <w:tab w:val="left" w:pos="360"/>
        </w:tabs>
        <w:spacing w:after="0" w:line="480" w:lineRule="auto"/>
        <w:rPr>
          <w:rFonts w:ascii="Times New Roman" w:hAnsi="Times New Roman" w:cs="Times New Roman"/>
          <w:sz w:val="24"/>
          <w:szCs w:val="24"/>
        </w:rPr>
      </w:pPr>
      <w:r w:rsidRPr="00D90B6D">
        <w:rPr>
          <w:rFonts w:ascii="Times New Roman" w:hAnsi="Times New Roman" w:cs="Times New Roman"/>
          <w:noProof/>
          <w:sz w:val="24"/>
          <w:szCs w:val="24"/>
        </w:rPr>
        <w:drawing>
          <wp:inline distT="0" distB="0" distL="0" distR="0" wp14:anchorId="7BC4198B" wp14:editId="5309554D">
            <wp:extent cx="4114800" cy="3200400"/>
            <wp:effectExtent l="0" t="0" r="0" b="0"/>
            <wp:docPr id="8" name="Picture 8" descr="F:\UW Hideaway (SyncBackFree)\Collaborations\2019 -- Varying-coefficient models\2019-01-17\Fig_2_cold_pool_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W Hideaway (SyncBackFree)\Collaborations\2019 -- Varying-coefficient models\2019-01-17\Fig_2_cold_pool_HI.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4800" cy="3200400"/>
                    </a:xfrm>
                    <a:prstGeom prst="rect">
                      <a:avLst/>
                    </a:prstGeom>
                    <a:noFill/>
                    <a:ln>
                      <a:noFill/>
                    </a:ln>
                  </pic:spPr>
                </pic:pic>
              </a:graphicData>
            </a:graphic>
          </wp:inline>
        </w:drawing>
      </w:r>
    </w:p>
    <w:p w14:paraId="6409B350" w14:textId="77777777" w:rsidR="00C64FA1" w:rsidRPr="00583253" w:rsidRDefault="00C64FA1" w:rsidP="00B46FB7">
      <w:pPr>
        <w:tabs>
          <w:tab w:val="left" w:pos="360"/>
        </w:tabs>
        <w:spacing w:after="0" w:line="480" w:lineRule="auto"/>
        <w:rPr>
          <w:rFonts w:ascii="Times New Roman" w:hAnsi="Times New Roman" w:cs="Times New Roman"/>
          <w:sz w:val="24"/>
          <w:szCs w:val="24"/>
        </w:rPr>
      </w:pPr>
    </w:p>
    <w:p w14:paraId="72E5DA21" w14:textId="77777777" w:rsidR="009174AC" w:rsidRDefault="009174AC"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37BBA7FB" w14:textId="7EE259E6" w:rsidR="0082612F" w:rsidRPr="00583253" w:rsidRDefault="0096481F" w:rsidP="00B46FB7">
      <w:pPr>
        <w:tabs>
          <w:tab w:val="left" w:pos="360"/>
        </w:tabs>
        <w:spacing w:after="0" w:line="480" w:lineRule="auto"/>
        <w:rPr>
          <w:rFonts w:ascii="Times New Roman" w:hAnsi="Times New Roman" w:cs="Times New Roman"/>
          <w:sz w:val="24"/>
          <w:szCs w:val="24"/>
        </w:rPr>
      </w:pPr>
      <w:r w:rsidRPr="00583253">
        <w:rPr>
          <w:rFonts w:ascii="Times New Roman" w:hAnsi="Times New Roman" w:cs="Times New Roman"/>
          <w:sz w:val="24"/>
          <w:szCs w:val="24"/>
        </w:rPr>
        <w:lastRenderedPageBreak/>
        <w:t xml:space="preserve">Figure </w:t>
      </w:r>
      <w:r w:rsidR="00C64FA1">
        <w:rPr>
          <w:rFonts w:ascii="Times New Roman" w:hAnsi="Times New Roman" w:cs="Times New Roman"/>
          <w:sz w:val="24"/>
          <w:szCs w:val="24"/>
        </w:rPr>
        <w:t>3</w:t>
      </w:r>
      <w:r w:rsidR="002D2BC8">
        <w:rPr>
          <w:rFonts w:ascii="Times New Roman" w:hAnsi="Times New Roman" w:cs="Times New Roman"/>
          <w:sz w:val="24"/>
          <w:szCs w:val="24"/>
        </w:rPr>
        <w:t xml:space="preserve"> – Illustration of the </w:t>
      </w:r>
      <w:r w:rsidR="00D509D9">
        <w:rPr>
          <w:rFonts w:ascii="Times New Roman" w:hAnsi="Times New Roman" w:cs="Times New Roman"/>
          <w:sz w:val="24"/>
          <w:szCs w:val="24"/>
        </w:rPr>
        <w:t>spatially vary</w:t>
      </w:r>
      <w:r w:rsidR="002D2BC8">
        <w:rPr>
          <w:rFonts w:ascii="Times New Roman" w:hAnsi="Times New Roman" w:cs="Times New Roman"/>
          <w:sz w:val="24"/>
          <w:szCs w:val="24"/>
        </w:rPr>
        <w:t xml:space="preserve">ing coefficient linking annual </w:t>
      </w:r>
      <w:r w:rsidR="00533B53">
        <w:rPr>
          <w:rFonts w:ascii="Times New Roman" w:hAnsi="Times New Roman" w:cs="Times New Roman"/>
          <w:sz w:val="24"/>
          <w:szCs w:val="24"/>
        </w:rPr>
        <w:t xml:space="preserve">cold-pool </w:t>
      </w:r>
      <w:r w:rsidR="002D2BC8">
        <w:rPr>
          <w:rFonts w:ascii="Times New Roman" w:hAnsi="Times New Roman" w:cs="Times New Roman"/>
          <w:sz w:val="24"/>
          <w:szCs w:val="24"/>
        </w:rPr>
        <w:t xml:space="preserve">extent to either numbers density (left column) or average-weight (right column) in the Poisson-link delta model used to predict biomass for each species in the Eastern Bering Sea.  </w:t>
      </w:r>
      <w:r w:rsidR="004825BA">
        <w:rPr>
          <w:rFonts w:ascii="Times New Roman" w:hAnsi="Times New Roman" w:cs="Times New Roman"/>
          <w:sz w:val="24"/>
          <w:szCs w:val="24"/>
        </w:rPr>
        <w:t xml:space="preserve">Results are shown for the model including a cold-pool effect but not bottom temperature.  </w:t>
      </w:r>
      <w:r w:rsidR="003A2725">
        <w:rPr>
          <w:rFonts w:ascii="Times New Roman" w:hAnsi="Times New Roman" w:cs="Times New Roman"/>
          <w:sz w:val="24"/>
          <w:szCs w:val="24"/>
        </w:rPr>
        <w:t xml:space="preserve">Cold-pool extent </w:t>
      </w:r>
      <w:r w:rsidR="00533B53">
        <w:rPr>
          <w:rFonts w:ascii="Times New Roman" w:hAnsi="Times New Roman" w:cs="Times New Roman"/>
          <w:sz w:val="24"/>
          <w:szCs w:val="24"/>
        </w:rPr>
        <w:t xml:space="preserve">is standardized to have a mean of zero and standard deviation of one prior to use and </w:t>
      </w:r>
      <w:r w:rsidR="00212101">
        <w:rPr>
          <w:rFonts w:ascii="Times New Roman" w:hAnsi="Times New Roman" w:cs="Times New Roman"/>
          <w:sz w:val="24"/>
          <w:szCs w:val="24"/>
        </w:rPr>
        <w:t xml:space="preserve">all results </w:t>
      </w:r>
      <w:r w:rsidR="00533B53">
        <w:rPr>
          <w:rFonts w:ascii="Times New Roman" w:hAnsi="Times New Roman" w:cs="Times New Roman"/>
          <w:sz w:val="24"/>
          <w:szCs w:val="24"/>
        </w:rPr>
        <w:t xml:space="preserve">are using a Poisson-link delta model </w:t>
      </w:r>
      <w:r w:rsidR="00212101">
        <w:rPr>
          <w:rFonts w:ascii="Times New Roman" w:hAnsi="Times New Roman" w:cs="Times New Roman"/>
          <w:sz w:val="24"/>
          <w:szCs w:val="24"/>
        </w:rPr>
        <w:t>such that</w:t>
      </w:r>
      <w:r w:rsidR="00533B53">
        <w:rPr>
          <w:rFonts w:ascii="Times New Roman" w:hAnsi="Times New Roman" w:cs="Times New Roman"/>
          <w:sz w:val="24"/>
          <w:szCs w:val="24"/>
        </w:rPr>
        <w:t xml:space="preserve"> cold-pool extent has a linear effect on log-biomass density;  consequently, a location with a coefficient of </w:t>
      </w:r>
      <m:oMath>
        <m:r>
          <w:rPr>
            <w:rFonts w:ascii="Cambria Math" w:hAnsi="Cambria Math" w:cs="Times New Roman"/>
            <w:sz w:val="24"/>
            <w:szCs w:val="24"/>
          </w:rPr>
          <m:t>0.1</m:t>
        </m:r>
      </m:oMath>
      <w:r w:rsidR="00533B53">
        <w:rPr>
          <w:rFonts w:ascii="Times New Roman" w:eastAsiaTheme="minorEastAsia" w:hAnsi="Times New Roman" w:cs="Times New Roman"/>
          <w:sz w:val="24"/>
          <w:szCs w:val="24"/>
        </w:rPr>
        <w:t xml:space="preserve"> indicates an approximately 10% increase in expected density for every 1 standard deviation (87,504 </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km</m:t>
            </m:r>
          </m:e>
          <m:sup>
            <m:r>
              <w:rPr>
                <w:rFonts w:ascii="Cambria Math" w:eastAsiaTheme="minorEastAsia" w:hAnsi="Cambria Math" w:cs="Times New Roman"/>
                <w:sz w:val="24"/>
                <w:szCs w:val="24"/>
              </w:rPr>
              <m:t>2</m:t>
            </m:r>
          </m:sup>
        </m:sSup>
      </m:oMath>
      <w:r w:rsidR="00533B53">
        <w:rPr>
          <w:rFonts w:ascii="Times New Roman" w:eastAsiaTheme="minorEastAsia" w:hAnsi="Times New Roman" w:cs="Times New Roman"/>
          <w:sz w:val="24"/>
          <w:szCs w:val="24"/>
        </w:rPr>
        <w:t xml:space="preserve">) increase in cold-pool extent.  </w:t>
      </w:r>
      <w:r w:rsidR="002D2BC8">
        <w:rPr>
          <w:rFonts w:ascii="Times New Roman" w:hAnsi="Times New Roman" w:cs="Times New Roman"/>
          <w:sz w:val="24"/>
          <w:szCs w:val="24"/>
        </w:rPr>
        <w:t xml:space="preserve">Note that the </w:t>
      </w:r>
      <w:r w:rsidR="002424FB">
        <w:rPr>
          <w:rFonts w:ascii="Times New Roman" w:hAnsi="Times New Roman" w:cs="Times New Roman"/>
          <w:sz w:val="24"/>
          <w:szCs w:val="24"/>
        </w:rPr>
        <w:t>color-</w:t>
      </w:r>
      <w:r w:rsidR="002D2BC8">
        <w:rPr>
          <w:rFonts w:ascii="Times New Roman" w:hAnsi="Times New Roman" w:cs="Times New Roman"/>
          <w:sz w:val="24"/>
          <w:szCs w:val="24"/>
        </w:rPr>
        <w:t xml:space="preserve">scale differs for each species (rows, </w:t>
      </w:r>
      <w:r w:rsidR="002424FB">
        <w:rPr>
          <w:rFonts w:ascii="Times New Roman" w:hAnsi="Times New Roman" w:cs="Times New Roman"/>
          <w:sz w:val="24"/>
          <w:szCs w:val="24"/>
        </w:rPr>
        <w:t xml:space="preserve">labeled </w:t>
      </w:r>
      <w:r w:rsidR="002D2BC8">
        <w:rPr>
          <w:rFonts w:ascii="Times New Roman" w:hAnsi="Times New Roman" w:cs="Times New Roman"/>
          <w:sz w:val="24"/>
          <w:szCs w:val="24"/>
        </w:rPr>
        <w:t>on left) and linear predictor</w:t>
      </w:r>
      <w:r w:rsidR="002424FB">
        <w:rPr>
          <w:rFonts w:ascii="Times New Roman" w:hAnsi="Times New Roman" w:cs="Times New Roman"/>
          <w:sz w:val="24"/>
          <w:szCs w:val="24"/>
        </w:rPr>
        <w:t xml:space="preserve"> (see color-bar for scale in each panel)</w:t>
      </w:r>
      <w:r w:rsidR="002D2BC8">
        <w:rPr>
          <w:rFonts w:ascii="Times New Roman" w:hAnsi="Times New Roman" w:cs="Times New Roman"/>
          <w:sz w:val="24"/>
          <w:szCs w:val="24"/>
        </w:rPr>
        <w:t xml:space="preserve">.  </w:t>
      </w:r>
    </w:p>
    <w:p w14:paraId="0D86965A" w14:textId="752F7C29" w:rsidR="004450BD" w:rsidRPr="00583253" w:rsidRDefault="00533B53" w:rsidP="00B46FB7">
      <w:pPr>
        <w:tabs>
          <w:tab w:val="left" w:pos="360"/>
        </w:tabs>
        <w:spacing w:after="0" w:line="480" w:lineRule="auto"/>
        <w:rPr>
          <w:rFonts w:ascii="Times New Roman" w:hAnsi="Times New Roman" w:cs="Times New Roman"/>
          <w:sz w:val="24"/>
          <w:szCs w:val="24"/>
        </w:rPr>
      </w:pPr>
      <w:r w:rsidRPr="00533B53">
        <w:rPr>
          <w:rFonts w:ascii="Times New Roman" w:hAnsi="Times New Roman" w:cs="Times New Roman"/>
          <w:noProof/>
          <w:sz w:val="24"/>
          <w:szCs w:val="24"/>
        </w:rPr>
        <w:lastRenderedPageBreak/>
        <w:drawing>
          <wp:inline distT="0" distB="0" distL="0" distR="0" wp14:anchorId="0A659924" wp14:editId="1E4FC46E">
            <wp:extent cx="3657600" cy="5486400"/>
            <wp:effectExtent l="0" t="0" r="0" b="0"/>
            <wp:docPr id="9" name="Picture 9" descr="F:\UW Hideaway (SyncBackFree)\Collaborations\2019 -- Varying-coefficient models\2019-01-17\Fig_3_Xi_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W Hideaway (SyncBackFree)\Collaborations\2019 -- Varying-coefficient models\2019-01-17\Fig_3_Xi_L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14:paraId="3C7BAF75" w14:textId="70070201" w:rsidR="0096481F" w:rsidRPr="00583253" w:rsidRDefault="0096481F" w:rsidP="00B46FB7">
      <w:pPr>
        <w:tabs>
          <w:tab w:val="left" w:pos="360"/>
        </w:tabs>
        <w:spacing w:after="0" w:line="480" w:lineRule="auto"/>
        <w:rPr>
          <w:rFonts w:ascii="Times New Roman" w:hAnsi="Times New Roman" w:cs="Times New Roman"/>
          <w:sz w:val="24"/>
          <w:szCs w:val="24"/>
        </w:rPr>
      </w:pPr>
    </w:p>
    <w:p w14:paraId="30BCA5D5" w14:textId="3ECE2212" w:rsidR="0096481F" w:rsidRDefault="009174AC"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sidR="0096481F" w:rsidRPr="00583253">
        <w:rPr>
          <w:rFonts w:ascii="Times New Roman" w:hAnsi="Times New Roman" w:cs="Times New Roman"/>
          <w:sz w:val="24"/>
          <w:szCs w:val="24"/>
        </w:rPr>
        <w:lastRenderedPageBreak/>
        <w:t xml:space="preserve">Figure </w:t>
      </w:r>
      <w:r w:rsidR="00C64FA1">
        <w:rPr>
          <w:rFonts w:ascii="Times New Roman" w:hAnsi="Times New Roman" w:cs="Times New Roman"/>
          <w:sz w:val="24"/>
          <w:szCs w:val="24"/>
        </w:rPr>
        <w:t>4</w:t>
      </w:r>
      <w:r w:rsidR="00C47653" w:rsidRPr="00583253">
        <w:rPr>
          <w:rFonts w:ascii="Times New Roman" w:hAnsi="Times New Roman" w:cs="Times New Roman"/>
          <w:sz w:val="24"/>
          <w:szCs w:val="24"/>
        </w:rPr>
        <w:t>:</w:t>
      </w:r>
      <w:r w:rsidR="0096481F" w:rsidRPr="00583253">
        <w:rPr>
          <w:rFonts w:ascii="Times New Roman" w:hAnsi="Times New Roman" w:cs="Times New Roman"/>
          <w:sz w:val="24"/>
          <w:szCs w:val="24"/>
        </w:rPr>
        <w:t xml:space="preserve">  </w:t>
      </w:r>
      <w:r w:rsidR="00891719">
        <w:rPr>
          <w:rFonts w:ascii="Times New Roman" w:hAnsi="Times New Roman" w:cs="Times New Roman"/>
          <w:sz w:val="24"/>
          <w:szCs w:val="24"/>
        </w:rPr>
        <w:t xml:space="preserve">Summary of the standard deviation of variation in log-density caused by a </w:t>
      </w:r>
      <w:r w:rsidR="00D509D9">
        <w:rPr>
          <w:rFonts w:ascii="Times New Roman" w:hAnsi="Times New Roman" w:cs="Times New Roman"/>
          <w:sz w:val="24"/>
          <w:szCs w:val="24"/>
        </w:rPr>
        <w:t>spatially vary</w:t>
      </w:r>
      <w:r w:rsidR="00891719">
        <w:rPr>
          <w:rFonts w:ascii="Times New Roman" w:hAnsi="Times New Roman" w:cs="Times New Roman"/>
          <w:sz w:val="24"/>
          <w:szCs w:val="24"/>
        </w:rPr>
        <w:t>ing link to cold-pool extent (1</w:t>
      </w:r>
      <w:r w:rsidR="00891719" w:rsidRPr="00891719">
        <w:rPr>
          <w:rFonts w:ascii="Times New Roman" w:hAnsi="Times New Roman" w:cs="Times New Roman"/>
          <w:sz w:val="24"/>
          <w:szCs w:val="24"/>
          <w:vertAlign w:val="superscript"/>
        </w:rPr>
        <w:t>st</w:t>
      </w:r>
      <w:r w:rsidR="00891719">
        <w:rPr>
          <w:rFonts w:ascii="Times New Roman" w:hAnsi="Times New Roman" w:cs="Times New Roman"/>
          <w:sz w:val="24"/>
          <w:szCs w:val="24"/>
        </w:rPr>
        <w:t xml:space="preserve"> row), a quadratic response to bottom temperature (2</w:t>
      </w:r>
      <w:r w:rsidR="00891719" w:rsidRPr="00891719">
        <w:rPr>
          <w:rFonts w:ascii="Times New Roman" w:hAnsi="Times New Roman" w:cs="Times New Roman"/>
          <w:sz w:val="24"/>
          <w:szCs w:val="24"/>
          <w:vertAlign w:val="superscript"/>
        </w:rPr>
        <w:t>nd</w:t>
      </w:r>
      <w:r w:rsidR="00891719">
        <w:rPr>
          <w:rFonts w:ascii="Times New Roman" w:hAnsi="Times New Roman" w:cs="Times New Roman"/>
          <w:sz w:val="24"/>
          <w:szCs w:val="24"/>
        </w:rPr>
        <w:t xml:space="preserve"> row), or residual spatio-temporal variation (</w:t>
      </w:r>
      <w:r w:rsidR="00617CD1">
        <w:rPr>
          <w:rFonts w:ascii="Times New Roman" w:hAnsi="Times New Roman" w:cs="Times New Roman"/>
          <w:sz w:val="24"/>
          <w:szCs w:val="24"/>
        </w:rPr>
        <w:t>3</w:t>
      </w:r>
      <w:r w:rsidR="00891719" w:rsidRPr="00891719">
        <w:rPr>
          <w:rFonts w:ascii="Times New Roman" w:hAnsi="Times New Roman" w:cs="Times New Roman"/>
          <w:sz w:val="24"/>
          <w:szCs w:val="24"/>
          <w:vertAlign w:val="superscript"/>
        </w:rPr>
        <w:t>th</w:t>
      </w:r>
      <w:r w:rsidR="00891719">
        <w:rPr>
          <w:rFonts w:ascii="Times New Roman" w:hAnsi="Times New Roman" w:cs="Times New Roman"/>
          <w:sz w:val="24"/>
          <w:szCs w:val="24"/>
        </w:rPr>
        <w:t xml:space="preserve"> row) as impacting either numbers density (1</w:t>
      </w:r>
      <w:r w:rsidR="00891719" w:rsidRPr="00891719">
        <w:rPr>
          <w:rFonts w:ascii="Times New Roman" w:hAnsi="Times New Roman" w:cs="Times New Roman"/>
          <w:sz w:val="24"/>
          <w:szCs w:val="24"/>
          <w:vertAlign w:val="superscript"/>
        </w:rPr>
        <w:t>st</w:t>
      </w:r>
      <w:r w:rsidR="00891719">
        <w:rPr>
          <w:rFonts w:ascii="Times New Roman" w:hAnsi="Times New Roman" w:cs="Times New Roman"/>
          <w:sz w:val="24"/>
          <w:szCs w:val="24"/>
        </w:rPr>
        <w:t xml:space="preserve"> column) or average biomass (2</w:t>
      </w:r>
      <w:r w:rsidR="00891719" w:rsidRPr="00891719">
        <w:rPr>
          <w:rFonts w:ascii="Times New Roman" w:hAnsi="Times New Roman" w:cs="Times New Roman"/>
          <w:sz w:val="24"/>
          <w:szCs w:val="24"/>
          <w:vertAlign w:val="superscript"/>
        </w:rPr>
        <w:t>nd</w:t>
      </w:r>
      <w:r w:rsidR="00891719">
        <w:rPr>
          <w:rFonts w:ascii="Times New Roman" w:hAnsi="Times New Roman" w:cs="Times New Roman"/>
          <w:sz w:val="24"/>
          <w:szCs w:val="24"/>
        </w:rPr>
        <w:t xml:space="preserve"> column).  Each panel shows a boxplot (line: mean; box: interquartile range; whiskers: the furthest point within 1.5 times the interquartile range from the mean) summarizing the estimated standard deviation across all </w:t>
      </w:r>
      <w:r w:rsidR="0044257B">
        <w:rPr>
          <w:rFonts w:ascii="Times New Roman" w:hAnsi="Times New Roman" w:cs="Times New Roman"/>
          <w:sz w:val="24"/>
          <w:szCs w:val="24"/>
        </w:rPr>
        <w:t>seventeen</w:t>
      </w:r>
      <w:r w:rsidR="00891719">
        <w:rPr>
          <w:rFonts w:ascii="Times New Roman" w:hAnsi="Times New Roman" w:cs="Times New Roman"/>
          <w:sz w:val="24"/>
          <w:szCs w:val="24"/>
        </w:rPr>
        <w:t xml:space="preserve"> analyzed species for a given model (None: neither temperature nor cold-pool; Both: both temperature and cold-pool responses)</w:t>
      </w:r>
      <w:r w:rsidR="0044257B">
        <w:rPr>
          <w:rFonts w:ascii="Times New Roman" w:hAnsi="Times New Roman" w:cs="Times New Roman"/>
          <w:sz w:val="24"/>
          <w:szCs w:val="24"/>
        </w:rPr>
        <w:t>. All panels also list the average standard deviation across all seventeen species above each boxplot, and the bottom row also lists the average reduction in spatio-temporal variance relative to the model without covariates</w:t>
      </w:r>
      <w:r w:rsidR="00D61BCE">
        <w:rPr>
          <w:rFonts w:ascii="Times New Roman" w:hAnsi="Times New Roman" w:cs="Times New Roman"/>
          <w:sz w:val="24"/>
          <w:szCs w:val="24"/>
        </w:rPr>
        <w:t xml:space="preserve"> (where, e.g., 50% would indicate that covariates explain half of spatio-temporal variance)</w:t>
      </w:r>
      <w:r w:rsidR="00891719">
        <w:rPr>
          <w:rFonts w:ascii="Times New Roman" w:hAnsi="Times New Roman" w:cs="Times New Roman"/>
          <w:sz w:val="24"/>
          <w:szCs w:val="24"/>
        </w:rPr>
        <w:t xml:space="preserve">.  </w:t>
      </w:r>
      <w:r w:rsidR="00116DE6">
        <w:rPr>
          <w:rFonts w:ascii="Times New Roman" w:hAnsi="Times New Roman" w:cs="Times New Roman"/>
          <w:sz w:val="24"/>
          <w:szCs w:val="24"/>
        </w:rPr>
        <w:t xml:space="preserve">Note the different y-axis scale for each row.  </w:t>
      </w:r>
    </w:p>
    <w:p w14:paraId="28A56BEC" w14:textId="32F5376E" w:rsidR="004450BD" w:rsidRPr="00583253" w:rsidRDefault="004A2D49" w:rsidP="00B46FB7">
      <w:pPr>
        <w:tabs>
          <w:tab w:val="left" w:pos="360"/>
        </w:tabs>
        <w:spacing w:after="0" w:line="480" w:lineRule="auto"/>
        <w:rPr>
          <w:rFonts w:ascii="Times New Roman" w:hAnsi="Times New Roman" w:cs="Times New Roman"/>
          <w:sz w:val="24"/>
          <w:szCs w:val="24"/>
        </w:rPr>
      </w:pPr>
      <w:r w:rsidRPr="004A2D49">
        <w:rPr>
          <w:rFonts w:ascii="Times New Roman" w:hAnsi="Times New Roman" w:cs="Times New Roman"/>
          <w:noProof/>
          <w:sz w:val="24"/>
          <w:szCs w:val="24"/>
        </w:rPr>
        <w:lastRenderedPageBreak/>
        <w:drawing>
          <wp:inline distT="0" distB="0" distL="0" distR="0" wp14:anchorId="5E673C38" wp14:editId="53DF2758">
            <wp:extent cx="4572000" cy="4572000"/>
            <wp:effectExtent l="0" t="0" r="0" b="0"/>
            <wp:docPr id="2" name="Picture 2" descr="F:\UW Hideaway (SyncBackFree)\Collaborations\2019 -- Varying-coefficient models\2019-01-17\Fig_4_Variance_box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W Hideaway (SyncBackFree)\Collaborations\2019 -- Varying-coefficient models\2019-01-17\Fig_4_Variance_boxplo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4A02D675" w14:textId="69EA2ECD" w:rsidR="0096481F" w:rsidRPr="00583253" w:rsidRDefault="0096481F" w:rsidP="00B46FB7">
      <w:pPr>
        <w:tabs>
          <w:tab w:val="left" w:pos="360"/>
        </w:tabs>
        <w:spacing w:after="0" w:line="480" w:lineRule="auto"/>
        <w:rPr>
          <w:rFonts w:ascii="Times New Roman" w:hAnsi="Times New Roman" w:cs="Times New Roman"/>
          <w:sz w:val="24"/>
          <w:szCs w:val="24"/>
        </w:rPr>
      </w:pPr>
    </w:p>
    <w:p w14:paraId="03671F69" w14:textId="77777777" w:rsidR="009174AC" w:rsidRDefault="009174AC"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12A3CCD0" w14:textId="16E4C405" w:rsidR="00C47653" w:rsidRDefault="00C47653" w:rsidP="00B46FB7">
      <w:pPr>
        <w:tabs>
          <w:tab w:val="left" w:pos="360"/>
        </w:tabs>
        <w:spacing w:after="0" w:line="480" w:lineRule="auto"/>
        <w:rPr>
          <w:rFonts w:ascii="Times New Roman" w:hAnsi="Times New Roman" w:cs="Times New Roman"/>
          <w:sz w:val="24"/>
          <w:szCs w:val="24"/>
        </w:rPr>
      </w:pPr>
      <w:r w:rsidRPr="00583253">
        <w:rPr>
          <w:rFonts w:ascii="Times New Roman" w:hAnsi="Times New Roman" w:cs="Times New Roman"/>
          <w:sz w:val="24"/>
          <w:szCs w:val="24"/>
        </w:rPr>
        <w:lastRenderedPageBreak/>
        <w:t xml:space="preserve">Figure </w:t>
      </w:r>
      <w:r w:rsidR="00C64FA1">
        <w:rPr>
          <w:rFonts w:ascii="Times New Roman" w:hAnsi="Times New Roman" w:cs="Times New Roman"/>
          <w:sz w:val="24"/>
          <w:szCs w:val="24"/>
        </w:rPr>
        <w:t>5</w:t>
      </w:r>
      <w:r w:rsidRPr="00583253">
        <w:rPr>
          <w:rFonts w:ascii="Times New Roman" w:hAnsi="Times New Roman" w:cs="Times New Roman"/>
          <w:sz w:val="24"/>
          <w:szCs w:val="24"/>
        </w:rPr>
        <w:t xml:space="preserve">:  </w:t>
      </w:r>
      <w:r w:rsidR="005F2338">
        <w:rPr>
          <w:rFonts w:ascii="Times New Roman" w:hAnsi="Times New Roman" w:cs="Times New Roman"/>
          <w:sz w:val="24"/>
          <w:szCs w:val="24"/>
        </w:rPr>
        <w:t>Estimates of northward center-of-gravity (y-axis; note different scale for each species) for each year 2012-2017 (x-axis) for each of twenty species (panels) and four models (line: estimate; shaded area: +/- one standard error; see color labels in top-left panel) when fitting to data 1982-2014 and forecasting distribution in 2015-2017.  The dashed lines show estimates when fitting to all data (2012-2017)</w:t>
      </w:r>
      <w:r w:rsidR="00C43E4D">
        <w:rPr>
          <w:rFonts w:ascii="Times New Roman" w:hAnsi="Times New Roman" w:cs="Times New Roman"/>
          <w:sz w:val="24"/>
          <w:szCs w:val="24"/>
        </w:rPr>
        <w:t xml:space="preserve"> for each model, which are </w:t>
      </w:r>
      <w:r w:rsidR="005F2338">
        <w:rPr>
          <w:rFonts w:ascii="Times New Roman" w:hAnsi="Times New Roman" w:cs="Times New Roman"/>
          <w:sz w:val="24"/>
          <w:szCs w:val="24"/>
        </w:rPr>
        <w:t xml:space="preserve">generally very similar. </w:t>
      </w:r>
      <w:r w:rsidR="00C43E4D">
        <w:rPr>
          <w:rFonts w:ascii="Times New Roman" w:hAnsi="Times New Roman" w:cs="Times New Roman"/>
          <w:sz w:val="24"/>
          <w:szCs w:val="24"/>
        </w:rPr>
        <w:t xml:space="preserve"> Each panel includes the average error (computed as the difference between forecasts and estimates using all data when averaging across models) for each of four models as well as a “persistence” forecast (i.e., forecasting that the distribution does not change after 2014).  </w:t>
      </w:r>
    </w:p>
    <w:p w14:paraId="78EE0925" w14:textId="6F45A960" w:rsidR="00DE7F62" w:rsidRDefault="00570B30" w:rsidP="00B46FB7">
      <w:pPr>
        <w:tabs>
          <w:tab w:val="left" w:pos="360"/>
        </w:tabs>
        <w:spacing w:after="0" w:line="480" w:lineRule="auto"/>
        <w:rPr>
          <w:rFonts w:ascii="Times New Roman" w:hAnsi="Times New Roman" w:cs="Times New Roman"/>
          <w:sz w:val="24"/>
          <w:szCs w:val="24"/>
        </w:rPr>
        <w:sectPr w:rsidR="00DE7F62" w:rsidSect="00C6634B">
          <w:headerReference w:type="default" r:id="rId13"/>
          <w:footerReference w:type="default" r:id="rId14"/>
          <w:pgSz w:w="12240" w:h="15840"/>
          <w:pgMar w:top="1440" w:right="1440" w:bottom="1440" w:left="1440" w:header="720" w:footer="720" w:gutter="0"/>
          <w:lnNumType w:countBy="1" w:restart="continuous"/>
          <w:cols w:space="720"/>
          <w:docGrid w:linePitch="360"/>
        </w:sectPr>
      </w:pPr>
      <w:r w:rsidRPr="00570B30">
        <w:rPr>
          <w:rFonts w:ascii="Times New Roman" w:hAnsi="Times New Roman" w:cs="Times New Roman"/>
          <w:noProof/>
          <w:sz w:val="24"/>
          <w:szCs w:val="24"/>
        </w:rPr>
        <w:lastRenderedPageBreak/>
        <w:drawing>
          <wp:inline distT="0" distB="0" distL="0" distR="0" wp14:anchorId="2D5ED939" wp14:editId="4AFFF4B1">
            <wp:extent cx="5943600" cy="7429500"/>
            <wp:effectExtent l="0" t="0" r="0" b="0"/>
            <wp:docPr id="11" name="Picture 11" descr="F:\UW Hideaway (SyncBackFree)\Collaborations\2019 -- Varying-coefficient models\2019-01-17\Fig_5_Forecast-NC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W Hideaway (SyncBackFree)\Collaborations\2019 -- Varying-coefficient models\2019-01-17\Fig_5_Forecast-NCO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7429500"/>
                    </a:xfrm>
                    <a:prstGeom prst="rect">
                      <a:avLst/>
                    </a:prstGeom>
                    <a:noFill/>
                    <a:ln>
                      <a:noFill/>
                    </a:ln>
                  </pic:spPr>
                </pic:pic>
              </a:graphicData>
            </a:graphic>
          </wp:inline>
        </w:drawing>
      </w:r>
    </w:p>
    <w:p w14:paraId="660F452D" w14:textId="0821603B" w:rsidR="00B80261" w:rsidRDefault="00DE7F62" w:rsidP="00B46FB7">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 6</w:t>
      </w:r>
      <w:r w:rsidR="00C43E4D">
        <w:rPr>
          <w:rFonts w:ascii="Times New Roman" w:hAnsi="Times New Roman" w:cs="Times New Roman"/>
          <w:sz w:val="24"/>
          <w:szCs w:val="24"/>
        </w:rPr>
        <w:t xml:space="preserve"> – Distribution of error for forecasts </w:t>
      </w:r>
      <w:r w:rsidR="00DB149E">
        <w:rPr>
          <w:rFonts w:ascii="Times New Roman" w:hAnsi="Times New Roman" w:cs="Times New Roman"/>
          <w:sz w:val="24"/>
          <w:szCs w:val="24"/>
        </w:rPr>
        <w:t xml:space="preserve">of northward center of gravity (computed as the difference between forecasts and estimates using all data when averaging across models) for all twenty species when fitting to data 1982-2014 and forecasting distribution in 2015 (left panel), 2016 (middle panel) or 2017 (right panel) using four models or a “persistence” forecast (see Fig. 5 caption for details).  The top of each panel lists the median absolute error (a value close to zero is better) and bias (a value close to zero is better) for each forecast model.  </w:t>
      </w:r>
    </w:p>
    <w:p w14:paraId="2202FF45" w14:textId="58B9B9C2" w:rsidR="00DE7F62" w:rsidRPr="00583253" w:rsidRDefault="00570B30" w:rsidP="00B46FB7">
      <w:pPr>
        <w:tabs>
          <w:tab w:val="left" w:pos="360"/>
        </w:tabs>
        <w:spacing w:after="0" w:line="480" w:lineRule="auto"/>
        <w:rPr>
          <w:rFonts w:ascii="Times New Roman" w:hAnsi="Times New Roman" w:cs="Times New Roman"/>
          <w:sz w:val="24"/>
          <w:szCs w:val="24"/>
        </w:rPr>
      </w:pPr>
      <w:r w:rsidRPr="00570B30">
        <w:rPr>
          <w:rFonts w:ascii="Times New Roman" w:hAnsi="Times New Roman" w:cs="Times New Roman"/>
          <w:noProof/>
          <w:sz w:val="24"/>
          <w:szCs w:val="24"/>
        </w:rPr>
        <w:drawing>
          <wp:inline distT="0" distB="0" distL="0" distR="0" wp14:anchorId="2E06D9E2" wp14:editId="1204AEFC">
            <wp:extent cx="6400800" cy="2286000"/>
            <wp:effectExtent l="0" t="0" r="0" b="0"/>
            <wp:docPr id="12" name="Picture 12" descr="F:\UW Hideaway (SyncBackFree)\Collaborations\2019 -- Varying-coefficient models\2019-01-17\Fig_6_Error_boxplots-C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W Hideaway (SyncBackFree)\Collaborations\2019 -- Varying-coefficient models\2019-01-17\Fig_6_Error_boxplots-CO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2286000"/>
                    </a:xfrm>
                    <a:prstGeom prst="rect">
                      <a:avLst/>
                    </a:prstGeom>
                    <a:noFill/>
                    <a:ln>
                      <a:noFill/>
                    </a:ln>
                  </pic:spPr>
                </pic:pic>
              </a:graphicData>
            </a:graphic>
          </wp:inline>
        </w:drawing>
      </w:r>
    </w:p>
    <w:p w14:paraId="239ED121" w14:textId="1EC99F21" w:rsidR="00DC05FD" w:rsidRPr="00583253" w:rsidRDefault="00DC05FD" w:rsidP="00B46FB7">
      <w:pPr>
        <w:tabs>
          <w:tab w:val="left" w:pos="360"/>
        </w:tabs>
        <w:spacing w:after="0" w:line="480" w:lineRule="auto"/>
        <w:rPr>
          <w:rFonts w:ascii="Times New Roman" w:hAnsi="Times New Roman" w:cs="Times New Roman"/>
          <w:sz w:val="24"/>
          <w:szCs w:val="24"/>
        </w:rPr>
      </w:pPr>
    </w:p>
    <w:p w14:paraId="37EA7B0C" w14:textId="77777777" w:rsidR="00DC05FD" w:rsidRPr="00583253" w:rsidRDefault="00DC05FD" w:rsidP="00B46FB7">
      <w:pPr>
        <w:tabs>
          <w:tab w:val="left" w:pos="360"/>
        </w:tabs>
        <w:spacing w:after="0" w:line="480" w:lineRule="auto"/>
        <w:rPr>
          <w:rFonts w:ascii="Times New Roman" w:hAnsi="Times New Roman" w:cs="Times New Roman"/>
          <w:sz w:val="24"/>
          <w:szCs w:val="24"/>
        </w:rPr>
      </w:pPr>
    </w:p>
    <w:p w14:paraId="581268AE" w14:textId="73F60799" w:rsidR="0096481F" w:rsidRPr="00583253" w:rsidRDefault="0096481F" w:rsidP="00B46FB7">
      <w:pPr>
        <w:tabs>
          <w:tab w:val="left" w:pos="360"/>
        </w:tabs>
        <w:spacing w:after="0" w:line="480" w:lineRule="auto"/>
        <w:rPr>
          <w:rFonts w:ascii="Times New Roman" w:hAnsi="Times New Roman" w:cs="Times New Roman"/>
          <w:sz w:val="24"/>
          <w:szCs w:val="24"/>
        </w:rPr>
      </w:pPr>
    </w:p>
    <w:sectPr w:rsidR="0096481F" w:rsidRPr="00583253" w:rsidSect="00DE7F6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3DA784" w14:textId="77777777" w:rsidR="007F3C05" w:rsidRDefault="007F3C05" w:rsidP="00C6634B">
      <w:pPr>
        <w:spacing w:after="0" w:line="240" w:lineRule="auto"/>
      </w:pPr>
      <w:r>
        <w:separator/>
      </w:r>
    </w:p>
  </w:endnote>
  <w:endnote w:type="continuationSeparator" w:id="0">
    <w:p w14:paraId="25ABB4FC" w14:textId="77777777" w:rsidR="007F3C05" w:rsidRDefault="007F3C05" w:rsidP="00C6634B">
      <w:pPr>
        <w:spacing w:after="0" w:line="240" w:lineRule="auto"/>
      </w:pPr>
      <w:r>
        <w:continuationSeparator/>
      </w:r>
    </w:p>
  </w:endnote>
  <w:endnote w:type="continuationNotice" w:id="1">
    <w:p w14:paraId="2172FC4E" w14:textId="77777777" w:rsidR="007F3C05" w:rsidRDefault="007F3C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8467130"/>
      <w:docPartObj>
        <w:docPartGallery w:val="Page Numbers (Bottom of Page)"/>
        <w:docPartUnique/>
      </w:docPartObj>
    </w:sdtPr>
    <w:sdtEndPr>
      <w:rPr>
        <w:noProof/>
      </w:rPr>
    </w:sdtEndPr>
    <w:sdtContent>
      <w:p w14:paraId="28C1CC47" w14:textId="161B83FC" w:rsidR="00924793" w:rsidRDefault="00924793">
        <w:pPr>
          <w:pStyle w:val="Footer"/>
          <w:jc w:val="center"/>
        </w:pPr>
        <w:r>
          <w:fldChar w:fldCharType="begin"/>
        </w:r>
        <w:r>
          <w:instrText xml:space="preserve"> PAGE   \* MERGEFORMAT </w:instrText>
        </w:r>
        <w:r>
          <w:fldChar w:fldCharType="separate"/>
        </w:r>
        <w:r w:rsidR="00611E4E">
          <w:rPr>
            <w:noProof/>
          </w:rPr>
          <w:t>19</w:t>
        </w:r>
        <w:r>
          <w:rPr>
            <w:noProof/>
          </w:rPr>
          <w:fldChar w:fldCharType="end"/>
        </w:r>
      </w:p>
    </w:sdtContent>
  </w:sdt>
  <w:p w14:paraId="42C6CEBC" w14:textId="77777777" w:rsidR="00924793" w:rsidRDefault="009247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2A5AC" w14:textId="77777777" w:rsidR="007F3C05" w:rsidRDefault="007F3C05" w:rsidP="00C6634B">
      <w:pPr>
        <w:spacing w:after="0" w:line="240" w:lineRule="auto"/>
      </w:pPr>
      <w:r>
        <w:separator/>
      </w:r>
    </w:p>
  </w:footnote>
  <w:footnote w:type="continuationSeparator" w:id="0">
    <w:p w14:paraId="43AE3D91" w14:textId="77777777" w:rsidR="007F3C05" w:rsidRDefault="007F3C05" w:rsidP="00C6634B">
      <w:pPr>
        <w:spacing w:after="0" w:line="240" w:lineRule="auto"/>
      </w:pPr>
      <w:r>
        <w:continuationSeparator/>
      </w:r>
    </w:p>
  </w:footnote>
  <w:footnote w:type="continuationNotice" w:id="1">
    <w:p w14:paraId="63D8331B" w14:textId="77777777" w:rsidR="007F3C05" w:rsidRDefault="007F3C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F449E" w14:textId="77777777" w:rsidR="00924793" w:rsidRDefault="009247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63AD0"/>
    <w:multiLevelType w:val="hybridMultilevel"/>
    <w:tmpl w:val="207801B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CF827F6"/>
    <w:multiLevelType w:val="hybridMultilevel"/>
    <w:tmpl w:val="8514E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7AC"/>
    <w:rsid w:val="00006F5B"/>
    <w:rsid w:val="00007D36"/>
    <w:rsid w:val="00017FDA"/>
    <w:rsid w:val="000334DF"/>
    <w:rsid w:val="00044989"/>
    <w:rsid w:val="00062877"/>
    <w:rsid w:val="000644EA"/>
    <w:rsid w:val="00065226"/>
    <w:rsid w:val="0006789E"/>
    <w:rsid w:val="0007055D"/>
    <w:rsid w:val="0008301C"/>
    <w:rsid w:val="000B3F98"/>
    <w:rsid w:val="000D5661"/>
    <w:rsid w:val="000E5606"/>
    <w:rsid w:val="000F195D"/>
    <w:rsid w:val="000F27B5"/>
    <w:rsid w:val="000F7102"/>
    <w:rsid w:val="00104677"/>
    <w:rsid w:val="00111BAE"/>
    <w:rsid w:val="001159B2"/>
    <w:rsid w:val="00116DE6"/>
    <w:rsid w:val="00125851"/>
    <w:rsid w:val="00154E79"/>
    <w:rsid w:val="00170513"/>
    <w:rsid w:val="001713E8"/>
    <w:rsid w:val="001736EC"/>
    <w:rsid w:val="00180B9E"/>
    <w:rsid w:val="00187E1D"/>
    <w:rsid w:val="00192F7F"/>
    <w:rsid w:val="001A4086"/>
    <w:rsid w:val="001B29E8"/>
    <w:rsid w:val="001D7D65"/>
    <w:rsid w:val="0020597C"/>
    <w:rsid w:val="00212101"/>
    <w:rsid w:val="00213CBC"/>
    <w:rsid w:val="002204AE"/>
    <w:rsid w:val="00222149"/>
    <w:rsid w:val="002424FB"/>
    <w:rsid w:val="002516E8"/>
    <w:rsid w:val="002529C0"/>
    <w:rsid w:val="00253528"/>
    <w:rsid w:val="0025432A"/>
    <w:rsid w:val="00257889"/>
    <w:rsid w:val="00262CA4"/>
    <w:rsid w:val="0026469C"/>
    <w:rsid w:val="00285A77"/>
    <w:rsid w:val="00294268"/>
    <w:rsid w:val="002A04A4"/>
    <w:rsid w:val="002A4C94"/>
    <w:rsid w:val="002A5E15"/>
    <w:rsid w:val="002A7C24"/>
    <w:rsid w:val="002B27E0"/>
    <w:rsid w:val="002B7BE4"/>
    <w:rsid w:val="002C5A7B"/>
    <w:rsid w:val="002D2BC8"/>
    <w:rsid w:val="002E0F0B"/>
    <w:rsid w:val="002E6BBA"/>
    <w:rsid w:val="00301545"/>
    <w:rsid w:val="00310076"/>
    <w:rsid w:val="0031081F"/>
    <w:rsid w:val="00320445"/>
    <w:rsid w:val="00327A28"/>
    <w:rsid w:val="00356829"/>
    <w:rsid w:val="003716EC"/>
    <w:rsid w:val="00382A87"/>
    <w:rsid w:val="003A2725"/>
    <w:rsid w:val="003A5AC1"/>
    <w:rsid w:val="003A67E6"/>
    <w:rsid w:val="003B0E06"/>
    <w:rsid w:val="003B2B54"/>
    <w:rsid w:val="003C3DF5"/>
    <w:rsid w:val="003C5B9C"/>
    <w:rsid w:val="003E2CE5"/>
    <w:rsid w:val="00440CF9"/>
    <w:rsid w:val="0044257B"/>
    <w:rsid w:val="004450BD"/>
    <w:rsid w:val="0044746F"/>
    <w:rsid w:val="00450F1E"/>
    <w:rsid w:val="004611FF"/>
    <w:rsid w:val="00461A10"/>
    <w:rsid w:val="00466703"/>
    <w:rsid w:val="0047726A"/>
    <w:rsid w:val="004825BA"/>
    <w:rsid w:val="0049473F"/>
    <w:rsid w:val="004A0B30"/>
    <w:rsid w:val="004A2D49"/>
    <w:rsid w:val="004A7903"/>
    <w:rsid w:val="004C36F3"/>
    <w:rsid w:val="004D2174"/>
    <w:rsid w:val="004D65BB"/>
    <w:rsid w:val="004E1331"/>
    <w:rsid w:val="004E45EE"/>
    <w:rsid w:val="004F4626"/>
    <w:rsid w:val="00500331"/>
    <w:rsid w:val="00513465"/>
    <w:rsid w:val="00525824"/>
    <w:rsid w:val="00533B53"/>
    <w:rsid w:val="005410AC"/>
    <w:rsid w:val="00552681"/>
    <w:rsid w:val="00552B86"/>
    <w:rsid w:val="0055527D"/>
    <w:rsid w:val="00570B30"/>
    <w:rsid w:val="005712E0"/>
    <w:rsid w:val="00583253"/>
    <w:rsid w:val="005845CF"/>
    <w:rsid w:val="0059040F"/>
    <w:rsid w:val="00595EEA"/>
    <w:rsid w:val="0059724D"/>
    <w:rsid w:val="005B05CC"/>
    <w:rsid w:val="005B715E"/>
    <w:rsid w:val="005C2011"/>
    <w:rsid w:val="005D0358"/>
    <w:rsid w:val="005E1EAD"/>
    <w:rsid w:val="005E6509"/>
    <w:rsid w:val="005F2338"/>
    <w:rsid w:val="005F769E"/>
    <w:rsid w:val="00611463"/>
    <w:rsid w:val="00611E4E"/>
    <w:rsid w:val="006148DD"/>
    <w:rsid w:val="00617CD1"/>
    <w:rsid w:val="006508EC"/>
    <w:rsid w:val="0065625A"/>
    <w:rsid w:val="00663A24"/>
    <w:rsid w:val="006824CE"/>
    <w:rsid w:val="006955A7"/>
    <w:rsid w:val="006A0E2D"/>
    <w:rsid w:val="006A1D26"/>
    <w:rsid w:val="006A57DC"/>
    <w:rsid w:val="006A6A3A"/>
    <w:rsid w:val="006B6AE0"/>
    <w:rsid w:val="00706273"/>
    <w:rsid w:val="00715CC9"/>
    <w:rsid w:val="0072267C"/>
    <w:rsid w:val="00743BF1"/>
    <w:rsid w:val="007466AA"/>
    <w:rsid w:val="007541AD"/>
    <w:rsid w:val="007601BD"/>
    <w:rsid w:val="00784690"/>
    <w:rsid w:val="007849F9"/>
    <w:rsid w:val="00785798"/>
    <w:rsid w:val="00787985"/>
    <w:rsid w:val="007B1E2D"/>
    <w:rsid w:val="007B5697"/>
    <w:rsid w:val="007C7F52"/>
    <w:rsid w:val="007D7873"/>
    <w:rsid w:val="007E5158"/>
    <w:rsid w:val="007F3C05"/>
    <w:rsid w:val="0080260A"/>
    <w:rsid w:val="00811A63"/>
    <w:rsid w:val="0081541D"/>
    <w:rsid w:val="008164D2"/>
    <w:rsid w:val="008220F8"/>
    <w:rsid w:val="00823620"/>
    <w:rsid w:val="0082612F"/>
    <w:rsid w:val="00830F4E"/>
    <w:rsid w:val="008433BE"/>
    <w:rsid w:val="008553E7"/>
    <w:rsid w:val="00855C88"/>
    <w:rsid w:val="00870431"/>
    <w:rsid w:val="00891719"/>
    <w:rsid w:val="00894292"/>
    <w:rsid w:val="0089631C"/>
    <w:rsid w:val="008A17AC"/>
    <w:rsid w:val="008A7C12"/>
    <w:rsid w:val="008B4491"/>
    <w:rsid w:val="008C60F8"/>
    <w:rsid w:val="008C78DF"/>
    <w:rsid w:val="008C7DD3"/>
    <w:rsid w:val="008D066A"/>
    <w:rsid w:val="008F3999"/>
    <w:rsid w:val="00914E26"/>
    <w:rsid w:val="009174AC"/>
    <w:rsid w:val="009208FC"/>
    <w:rsid w:val="00924793"/>
    <w:rsid w:val="00961010"/>
    <w:rsid w:val="0096216C"/>
    <w:rsid w:val="0096481F"/>
    <w:rsid w:val="00965605"/>
    <w:rsid w:val="009713B3"/>
    <w:rsid w:val="0097185F"/>
    <w:rsid w:val="009734D7"/>
    <w:rsid w:val="00984C22"/>
    <w:rsid w:val="0099616D"/>
    <w:rsid w:val="009A3498"/>
    <w:rsid w:val="009A4722"/>
    <w:rsid w:val="009B6946"/>
    <w:rsid w:val="009E053A"/>
    <w:rsid w:val="00A349B6"/>
    <w:rsid w:val="00A46F86"/>
    <w:rsid w:val="00A95419"/>
    <w:rsid w:val="00AA7FF2"/>
    <w:rsid w:val="00AB2585"/>
    <w:rsid w:val="00AC110D"/>
    <w:rsid w:val="00AD1C0F"/>
    <w:rsid w:val="00AD696A"/>
    <w:rsid w:val="00AE0AF4"/>
    <w:rsid w:val="00AF3381"/>
    <w:rsid w:val="00B111FE"/>
    <w:rsid w:val="00B31815"/>
    <w:rsid w:val="00B34CC3"/>
    <w:rsid w:val="00B46A67"/>
    <w:rsid w:val="00B46FB7"/>
    <w:rsid w:val="00B52010"/>
    <w:rsid w:val="00B521D7"/>
    <w:rsid w:val="00B713C8"/>
    <w:rsid w:val="00B73FB7"/>
    <w:rsid w:val="00B80261"/>
    <w:rsid w:val="00B82CC1"/>
    <w:rsid w:val="00B8661B"/>
    <w:rsid w:val="00B96F59"/>
    <w:rsid w:val="00BC67E3"/>
    <w:rsid w:val="00BC7ABC"/>
    <w:rsid w:val="00BE5D5A"/>
    <w:rsid w:val="00C02540"/>
    <w:rsid w:val="00C06B56"/>
    <w:rsid w:val="00C158A9"/>
    <w:rsid w:val="00C25560"/>
    <w:rsid w:val="00C43E4D"/>
    <w:rsid w:val="00C47653"/>
    <w:rsid w:val="00C610AB"/>
    <w:rsid w:val="00C64FA1"/>
    <w:rsid w:val="00C6634B"/>
    <w:rsid w:val="00CA52BA"/>
    <w:rsid w:val="00CD7CC2"/>
    <w:rsid w:val="00CF4E8F"/>
    <w:rsid w:val="00D00884"/>
    <w:rsid w:val="00D251B4"/>
    <w:rsid w:val="00D25965"/>
    <w:rsid w:val="00D30ABF"/>
    <w:rsid w:val="00D355B0"/>
    <w:rsid w:val="00D42E7C"/>
    <w:rsid w:val="00D509D9"/>
    <w:rsid w:val="00D609C7"/>
    <w:rsid w:val="00D61BCE"/>
    <w:rsid w:val="00D64EA0"/>
    <w:rsid w:val="00D66CEF"/>
    <w:rsid w:val="00D82850"/>
    <w:rsid w:val="00D90B6D"/>
    <w:rsid w:val="00D973D7"/>
    <w:rsid w:val="00DB149E"/>
    <w:rsid w:val="00DB3A49"/>
    <w:rsid w:val="00DB667C"/>
    <w:rsid w:val="00DC05FD"/>
    <w:rsid w:val="00DD179E"/>
    <w:rsid w:val="00DE7F62"/>
    <w:rsid w:val="00DF266F"/>
    <w:rsid w:val="00DF5DB7"/>
    <w:rsid w:val="00E06CEF"/>
    <w:rsid w:val="00E13B6A"/>
    <w:rsid w:val="00E249D0"/>
    <w:rsid w:val="00E25FA3"/>
    <w:rsid w:val="00E27752"/>
    <w:rsid w:val="00E27B05"/>
    <w:rsid w:val="00E31CCE"/>
    <w:rsid w:val="00E33A21"/>
    <w:rsid w:val="00E36A95"/>
    <w:rsid w:val="00E45365"/>
    <w:rsid w:val="00E4648F"/>
    <w:rsid w:val="00E81D8E"/>
    <w:rsid w:val="00E8774D"/>
    <w:rsid w:val="00EC14EA"/>
    <w:rsid w:val="00ED02F6"/>
    <w:rsid w:val="00ED20B1"/>
    <w:rsid w:val="00ED2F4C"/>
    <w:rsid w:val="00ED51CC"/>
    <w:rsid w:val="00F024C1"/>
    <w:rsid w:val="00F110E1"/>
    <w:rsid w:val="00F13378"/>
    <w:rsid w:val="00F20736"/>
    <w:rsid w:val="00F27162"/>
    <w:rsid w:val="00F409E6"/>
    <w:rsid w:val="00F43CFE"/>
    <w:rsid w:val="00F57482"/>
    <w:rsid w:val="00F61389"/>
    <w:rsid w:val="00F82261"/>
    <w:rsid w:val="00F96E00"/>
    <w:rsid w:val="00FD54D3"/>
    <w:rsid w:val="00FE6353"/>
    <w:rsid w:val="00FE66B9"/>
    <w:rsid w:val="00FE6B8E"/>
    <w:rsid w:val="00FF3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45B1"/>
  <w15:chartTrackingRefBased/>
  <w15:docId w15:val="{CFB21EC3-3509-4B1C-B233-59E36014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6634B"/>
  </w:style>
  <w:style w:type="paragraph" w:styleId="Header">
    <w:name w:val="header"/>
    <w:basedOn w:val="Normal"/>
    <w:link w:val="HeaderChar"/>
    <w:uiPriority w:val="99"/>
    <w:unhideWhenUsed/>
    <w:rsid w:val="00C66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34B"/>
  </w:style>
  <w:style w:type="paragraph" w:styleId="Footer">
    <w:name w:val="footer"/>
    <w:basedOn w:val="Normal"/>
    <w:link w:val="FooterChar"/>
    <w:uiPriority w:val="99"/>
    <w:unhideWhenUsed/>
    <w:rsid w:val="00C66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34B"/>
  </w:style>
  <w:style w:type="character" w:styleId="PlaceholderText">
    <w:name w:val="Placeholder Text"/>
    <w:basedOn w:val="DefaultParagraphFont"/>
    <w:uiPriority w:val="99"/>
    <w:semiHidden/>
    <w:rsid w:val="00DF5DB7"/>
    <w:rPr>
      <w:color w:val="808080"/>
    </w:rPr>
  </w:style>
  <w:style w:type="table" w:styleId="TableGrid">
    <w:name w:val="Table Grid"/>
    <w:basedOn w:val="TableNormal"/>
    <w:uiPriority w:val="39"/>
    <w:rsid w:val="00822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65226"/>
    <w:pPr>
      <w:spacing w:after="0" w:line="240" w:lineRule="auto"/>
      <w:ind w:left="720" w:hanging="720"/>
    </w:pPr>
  </w:style>
  <w:style w:type="character" w:styleId="Hyperlink">
    <w:name w:val="Hyperlink"/>
    <w:basedOn w:val="DefaultParagraphFont"/>
    <w:uiPriority w:val="99"/>
    <w:unhideWhenUsed/>
    <w:rsid w:val="002516E8"/>
    <w:rPr>
      <w:color w:val="0563C1" w:themeColor="hyperlink"/>
      <w:u w:val="single"/>
    </w:rPr>
  </w:style>
  <w:style w:type="character" w:customStyle="1" w:styleId="UnresolvedMention1">
    <w:name w:val="Unresolved Mention1"/>
    <w:basedOn w:val="DefaultParagraphFont"/>
    <w:uiPriority w:val="99"/>
    <w:semiHidden/>
    <w:unhideWhenUsed/>
    <w:rsid w:val="002516E8"/>
    <w:rPr>
      <w:color w:val="605E5C"/>
      <w:shd w:val="clear" w:color="auto" w:fill="E1DFDD"/>
    </w:rPr>
  </w:style>
  <w:style w:type="paragraph" w:styleId="ListParagraph">
    <w:name w:val="List Paragraph"/>
    <w:basedOn w:val="Normal"/>
    <w:uiPriority w:val="34"/>
    <w:qFormat/>
    <w:rsid w:val="002516E8"/>
    <w:pPr>
      <w:ind w:left="720"/>
      <w:contextualSpacing/>
    </w:pPr>
  </w:style>
  <w:style w:type="character" w:styleId="CommentReference">
    <w:name w:val="annotation reference"/>
    <w:basedOn w:val="DefaultParagraphFont"/>
    <w:uiPriority w:val="99"/>
    <w:semiHidden/>
    <w:unhideWhenUsed/>
    <w:rsid w:val="006148DD"/>
    <w:rPr>
      <w:sz w:val="16"/>
      <w:szCs w:val="16"/>
    </w:rPr>
  </w:style>
  <w:style w:type="paragraph" w:styleId="CommentText">
    <w:name w:val="annotation text"/>
    <w:basedOn w:val="Normal"/>
    <w:link w:val="CommentTextChar"/>
    <w:uiPriority w:val="99"/>
    <w:semiHidden/>
    <w:unhideWhenUsed/>
    <w:rsid w:val="006148DD"/>
    <w:pPr>
      <w:spacing w:line="240" w:lineRule="auto"/>
    </w:pPr>
    <w:rPr>
      <w:sz w:val="20"/>
      <w:szCs w:val="20"/>
    </w:rPr>
  </w:style>
  <w:style w:type="character" w:customStyle="1" w:styleId="CommentTextChar">
    <w:name w:val="Comment Text Char"/>
    <w:basedOn w:val="DefaultParagraphFont"/>
    <w:link w:val="CommentText"/>
    <w:uiPriority w:val="99"/>
    <w:semiHidden/>
    <w:rsid w:val="006148DD"/>
    <w:rPr>
      <w:sz w:val="20"/>
      <w:szCs w:val="20"/>
    </w:rPr>
  </w:style>
  <w:style w:type="paragraph" w:styleId="CommentSubject">
    <w:name w:val="annotation subject"/>
    <w:basedOn w:val="CommentText"/>
    <w:next w:val="CommentText"/>
    <w:link w:val="CommentSubjectChar"/>
    <w:uiPriority w:val="99"/>
    <w:semiHidden/>
    <w:unhideWhenUsed/>
    <w:rsid w:val="006148DD"/>
    <w:rPr>
      <w:b/>
      <w:bCs/>
    </w:rPr>
  </w:style>
  <w:style w:type="character" w:customStyle="1" w:styleId="CommentSubjectChar">
    <w:name w:val="Comment Subject Char"/>
    <w:basedOn w:val="CommentTextChar"/>
    <w:link w:val="CommentSubject"/>
    <w:uiPriority w:val="99"/>
    <w:semiHidden/>
    <w:rsid w:val="006148DD"/>
    <w:rPr>
      <w:b/>
      <w:bCs/>
      <w:sz w:val="20"/>
      <w:szCs w:val="20"/>
    </w:rPr>
  </w:style>
  <w:style w:type="paragraph" w:styleId="BalloonText">
    <w:name w:val="Balloon Text"/>
    <w:basedOn w:val="Normal"/>
    <w:link w:val="BalloonTextChar"/>
    <w:uiPriority w:val="99"/>
    <w:semiHidden/>
    <w:unhideWhenUsed/>
    <w:rsid w:val="006148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8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17719">
      <w:bodyDiv w:val="1"/>
      <w:marLeft w:val="0"/>
      <w:marRight w:val="0"/>
      <w:marTop w:val="0"/>
      <w:marBottom w:val="0"/>
      <w:divBdr>
        <w:top w:val="none" w:sz="0" w:space="0" w:color="auto"/>
        <w:left w:val="none" w:sz="0" w:space="0" w:color="auto"/>
        <w:bottom w:val="none" w:sz="0" w:space="0" w:color="auto"/>
        <w:right w:val="none" w:sz="0" w:space="0" w:color="auto"/>
      </w:divBdr>
    </w:div>
    <w:div w:id="202069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fsc.noaa.gov/RACE/groundfish/survey_data/data.ht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BB76E-4861-4150-A419-3AF8CB5D1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3524</TotalTime>
  <Pages>34</Pages>
  <Words>24465</Words>
  <Characters>139452</Characters>
  <Application>Microsoft Office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Thorson</dc:creator>
  <cp:keywords/>
  <dc:description/>
  <cp:lastModifiedBy>James.Thorson</cp:lastModifiedBy>
  <cp:revision>54</cp:revision>
  <dcterms:created xsi:type="dcterms:W3CDTF">2019-02-04T06:40:00Z</dcterms:created>
  <dcterms:modified xsi:type="dcterms:W3CDTF">2019-02-15T20:40:00Z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id="EdNPpxpn"/&gt;&lt;style id="http://www.zotero.org/styles/fisheries-research"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