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49.png" ContentType="image/png"/>
  <Override PartName="/word/media/rId52.png" ContentType="image/png"/>
  <Override PartName="/word/media/rId55.png" ContentType="image/png"/>
  <Override PartName="/word/media/rId58.png" ContentType="image/png"/>
  <Override PartName="/word/media/rId61.png" ContentType="image/png"/>
  <Override PartName="/word/media/rId64.png" ContentType="image/png"/>
  <Override PartName="/word/media/rId67.png" ContentType="image/png"/>
  <Override PartName="/word/media/rId70.png" ContentType="image/png"/>
  <Override PartName="/word/media/rId73.png" ContentType="image/png"/>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Preliminary 2026 assessment for eastern Bering Sea snow crab</w:t>
      </w:r>
    </w:p>
    <w:p>
      <w:pPr>
        <w:pStyle w:val="Author"/>
      </w:pPr>
      <w:r>
        <w:t xml:space="preserve">Grant Adams</w:t>
      </w:r>
    </w:p>
    <w:p>
      <w:pPr>
        <w:pStyle w:val="Date"/>
      </w:pPr>
      <w:r>
        <w:t xml:space="preserve">May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a.-executive-summary"/>
    <w:p>
      <w:pPr>
        <w:pStyle w:val="Heading1"/>
      </w:pPr>
      <w:r>
        <w:t xml:space="preserve">A. Executive summary</w:t>
      </w:r>
    </w:p>
    <w:p>
      <w:pPr>
        <w:pStyle w:val="FirstParagraph"/>
      </w:pPr>
      <w:r>
        <w:t xml:space="preserve">This document is a preliminary stock assessment for eastern Bering Sea (EBS) snow crab (</w:t>
      </w:r>
      <w:r>
        <w:rPr>
          <w:i/>
          <w:iCs/>
        </w:rPr>
        <w:t xml:space="preserve">Chionoecetes opilio</w:t>
      </w:r>
      <w:r>
        <w:t xml:space="preserve">) prepared for the May 2026 Crab Plan Team (CPT) meeting. Its purpose is to present model explorations requested by the SSC and CPT in 2025 and to seek guidance on which models to advance to the September 2026 final assessment cycle.</w:t>
      </w:r>
    </w:p>
    <w:p>
      <w:pPr>
        <w:pStyle w:val="BodyText"/>
      </w:pPr>
      <w:r>
        <w:t xml:space="preserve">The 2026 cycle focused on three axes of uncertainty: (1) the influence of</w:t>
      </w:r>
      <w:r>
        <w:t xml:space="preserve"> </w:t>
      </w:r>
      <w:r>
        <w:rPr>
          <w:i/>
          <w:iCs/>
        </w:rPr>
        <w:t xml:space="preserve">Chionoecetes</w:t>
      </w:r>
      <w:r>
        <w:t xml:space="preserve"> </w:t>
      </w:r>
      <w:r>
        <w:t xml:space="preserve">hybrids (snow</w:t>
      </w:r>
      <w:r>
        <w:t xml:space="preserve"> </w:t>
      </w:r>
      <m:oMath>
        <m:r>
          <m:rPr>
            <m:sty m:val="p"/>
          </m:rPr>
          <m:t>×</m:t>
        </m:r>
      </m:oMath>
      <w:r>
        <w:t xml:space="preserve"> </w:t>
      </w:r>
      <w:r>
        <w:t xml:space="preserve">Tanner crab) on assessment estimates when included in the survey and/or fishery data; (2) the impact of an updated maturity workflow developed by the Kodiak lab (Ryznar, in prep) that produces a spatiotemporally smoothed probability of terminal molt at size; and (3) attempts to improve model convergence (a bimodal jitter pattern was observed in the September 2025 assessment) using an updated plus group, a corrected total-male composition input, and/or the addition of an immature survey index.</w:t>
      </w:r>
    </w:p>
    <w:p>
      <w:pPr>
        <w:pStyle w:val="BodyText"/>
      </w:pPr>
      <w:r>
        <w:t xml:space="preserve">A total of 14 models are presented (</w:t>
      </w:r>
      <w:r>
        <w:t xml:space="preserve">,</w:t>
      </w:r>
      <w:r>
        <w:t xml:space="preserve"> </w:t>
      </w:r>
      <w:r>
        <w:t xml:space="preserve">). Across the candidate models, point estimates of the directed Tier 3 OFL ranged from approximately 36 to 56 thousand tonnes (kt), with the magnitude driven primarily by whether the immature survey index was included (which had a larger influence on the the scale of</w:t>
      </w:r>
      <w:r>
        <w:t xml:space="preserve"> </w:t>
      </w:r>
      <m:oMath>
        <m:sSub>
          <m:e>
            <m:r>
              <m:t>B</m:t>
            </m:r>
          </m:e>
          <m:sub>
            <m:r>
              <m:t>M</m:t>
            </m:r>
            <m:r>
              <m:t>S</m:t>
            </m:r>
            <m:r>
              <m:t>Y</m:t>
            </m:r>
          </m:sub>
        </m:sSub>
      </m:oMath>
      <w:r>
        <w:t xml:space="preserve"> </w:t>
      </w:r>
      <w:r>
        <w:t xml:space="preserve">and target</w:t>
      </w:r>
      <w:r>
        <w:t xml:space="preserve"> </w:t>
      </w:r>
      <m:oMath>
        <m:r>
          <m:t>F</m:t>
        </m:r>
      </m:oMath>
      <w:r>
        <w:t xml:space="preserve">), whether hybrid catch was added to the directed pot fishery, and whether the new maturity workflow (which has a much weaker temporal trend in the probability of terminal molt at size) was used to specify the time-varying maturity ogive. The status of the stock relative to</w:t>
      </w:r>
      <w:r>
        <w:t xml:space="preserve"> </w:t>
      </w:r>
      <m:oMath>
        <m:sSub>
          <m:e>
            <m:r>
              <m:t>B</m:t>
            </m:r>
          </m:e>
          <m:sub>
            <m:r>
              <m:t>M</m:t>
            </m:r>
            <m:r>
              <m:t>S</m:t>
            </m:r>
            <m:r>
              <m:t>Y</m:t>
            </m:r>
          </m:sub>
        </m:sSub>
      </m:oMath>
      <w:r>
        <w:t xml:space="preserve"> </w:t>
      </w:r>
      <w:r>
        <w:t xml:space="preserve">in the candidate models was generally between 0.87 and 1.02. No author preferred model or final OFL is recommended at this time – additional diagnostics, retrospective analyses, and Tier 4 calculations will be developed for the September document.</w:t>
      </w:r>
    </w:p>
    <w:p>
      <w:pPr>
        <w:pStyle w:val="BodyText"/>
      </w:pPr>
      <w:r>
        <w:t xml:space="preserve">The most important result is that the bimodality observed in the 2025 jitter analysis (two clouds of converged models with directed OFLs differing by ~5,000 t) does not persist when the immature survey index is included alongside the updated plus group. However, the immature index version of the model produces a much smaller</w:t>
      </w:r>
      <w:r>
        <w:t xml:space="preserve"> </w:t>
      </w:r>
      <m:oMath>
        <m:sSub>
          <m:e>
            <m:r>
              <m:t>B</m:t>
            </m:r>
          </m:e>
          <m:sub>
            <m:r>
              <m:t>M</m:t>
            </m:r>
            <m:r>
              <m:t>S</m:t>
            </m:r>
            <m:r>
              <m:t>Y</m:t>
            </m:r>
          </m:sub>
        </m:sSub>
      </m:oMath>
      <w:r>
        <w:t xml:space="preserve"> </w:t>
      </w:r>
      <w:r>
        <w:t xml:space="preserve">proxy and a substantially higher mature male natural mortality that warrants further investigation before September.</w:t>
      </w:r>
    </w:p>
    <w:bookmarkEnd w:id="20"/>
    <w:bookmarkStart w:id="22" w:name="X0051b87a08b8ae05dc44ee3e9c9d9920825113d"/>
    <w:p>
      <w:pPr>
        <w:pStyle w:val="Heading1"/>
      </w:pPr>
      <w:r>
        <w:t xml:space="preserve">B. Comments, responses and assessment summary</w:t>
      </w:r>
    </w:p>
    <w:bookmarkStart w:id="21" w:name="Xaf6a633fc4fe85694dfe072517ad8f1edc8929b"/>
    <w:p>
      <w:pPr>
        <w:pStyle w:val="Heading2"/>
      </w:pPr>
      <w:r>
        <w:t xml:space="preserve">SSC and CPT comments + author responses from June 2025</w:t>
      </w:r>
    </w:p>
    <w:p>
      <w:pPr>
        <w:pStyle w:val="FirstParagraph"/>
      </w:pPr>
      <w:r>
        <w:rPr>
          <w:i/>
          <w:iCs/>
        </w:rPr>
        <w:t xml:space="preserve">2025(6) SSC. The maximin analysis should be completed assuming a Ricker stock-recruitment relationship, but including the same compensation ratios as the original Clark (1991) analysis.</w:t>
      </w:r>
    </w:p>
    <w:p>
      <w:pPr>
        <w:pStyle w:val="BodyText"/>
      </w:pPr>
      <w:r>
        <w:t xml:space="preserve">The Ricker curves (Figure 1) used in Clark were implemented in the maximin analysis presented last cycle (and now published in Fisheries Research: Szuwalski and Punt (2025)</w:t>
      </w:r>
      <w:r>
        <w:t xml:space="preserve"> </w:t>
      </w:r>
      <w:r>
        <w:t xml:space="preserve">“Spawning-biomass-per-recruit proxies for fisheries reference points under multiple axes of uncertainty”</w:t>
      </w:r>
      <w:r>
        <w:t xml:space="preserve">). Incorporating these into the analysis shifted the SPBR% from ~36% to ~34% (Figure 2).</w:t>
      </w:r>
    </w:p>
    <w:p>
      <w:pPr>
        <w:pStyle w:val="BodyText"/>
      </w:pPr>
      <w:r>
        <w:rPr>
          <w:i/>
          <w:iCs/>
        </w:rPr>
        <w:t xml:space="preserve">2025(6) SSC. As the figures presented on the updated 1991+ catch data appear to indicate substantial differences in male discards, the SSC requests that the September document more clearly describe changes in the discard estimation and accounting process.</w:t>
      </w:r>
    </w:p>
    <w:p>
      <w:pPr>
        <w:pStyle w:val="BodyText"/>
      </w:pPr>
      <w:r>
        <w:t xml:space="preserve">A presentation from January 2025 from ADFG (available on the council website) noted that the largest changes occurred for total catch through implementing consistent data filtering, expansion using directed pot lifts, and adjustments to biological strata. This process now allows for the production of a data file with all years of available data for each assessment cycle, rather than single years at a time which were appended to an existing data file. An apparent shift upwards in discards of males from the directed fishery results primarily from a change in when discard mortality is applied (before input into the data file [before 2025] or within the assessment code itself [after 2025]).</w:t>
      </w:r>
    </w:p>
    <w:p>
      <w:pPr>
        <w:pStyle w:val="BodyText"/>
      </w:pPr>
      <w:r>
        <w:rPr>
          <w:i/>
          <w:iCs/>
        </w:rPr>
        <w:t xml:space="preserve">2025(6) SSC. Given the findings described in Mullowney and Baker (2021) from Canadian research indicating that the molt to maturity may occur at smaller sizes when lower densities of large males are present, it would be useful to determine if there is evidence for the same process occurring in EBS snow crab, and whether fishing mortality on the large males is consistently high enough to result in a strong effect. Further, it would be useful to evaluate whether clutch fullness may be related to size at maturity or the abundance of large-sized crab.</w:t>
      </w:r>
    </w:p>
    <w:p>
      <w:pPr>
        <w:pStyle w:val="BodyText"/>
      </w:pPr>
      <w:r>
        <w:rPr>
          <w:i/>
          <w:iCs/>
        </w:rPr>
        <w:t xml:space="preserve">Given that natural mortality events seem to switch among years and sexes depending on the model or input data, it would be prudent to investigate whether it is possible to estimate a direct link between natural mortality and a bottom temperature covariate of appropriate spatial and temporal scale.</w:t>
      </w:r>
      <w:r>
        <w:t xml:space="preserve"> </w:t>
      </w:r>
      <w:r>
        <w:t xml:space="preserve">A manuscript describing both of these relationships for Bering Sea snow crab was presented in May/June 2024 (Figure 3;</w:t>
      </w:r>
      <w:r>
        <w:t xml:space="preserve"> </w:t>
      </w:r>
      <w:r>
        <w:t xml:space="preserve">“Density dependence can modulate climate change impacts on populations”</w:t>
      </w:r>
      <w:r>
        <w:t xml:space="preserve">) and was published in 2026 (Szuwalski et al., 2026). In that manuscript, warmer temperatures were associated with elevated mortality and higher densities of large males were associated with lower probabilities of terminally molting at</w:t>
      </w:r>
      <w:r>
        <w:t xml:space="preserve"> </w:t>
      </w:r>
      <w:r>
        <w:t xml:space="preserve">size.</w:t>
      </w:r>
    </w:p>
    <w:p>
      <w:pPr>
        <w:pStyle w:val="BodyText"/>
      </w:pPr>
      <w:r>
        <w:t xml:space="preserve">The SSC responded to this presentation with the following text:</w:t>
      </w:r>
      <w:r>
        <w:t xml:space="preserve"> </w:t>
      </w:r>
      <w:r>
        <w:t xml:space="preserve">“The SSC emphasizes that projections of climate change impacts, while useful, are highly uncertain and. . . caution should be used when presenting</w:t>
      </w:r>
      <w:r>
        <w:t xml:space="preserve"> </w:t>
      </w:r>
      <w:r>
        <w:t xml:space="preserve">these results.”</w:t>
      </w:r>
    </w:p>
    <w:p>
      <w:pPr>
        <w:pStyle w:val="BodyText"/>
      </w:pPr>
      <w:r>
        <w:t xml:space="preserve">Clutch fullness does not appear to be related to the abundance of large-size crab based on analyses in</w:t>
      </w:r>
      <w:r>
        <w:t xml:space="preserve"> </w:t>
      </w:r>
      <w:r>
        <w:t xml:space="preserve">“Spatial depletion rates in the eastern Bering Sea snow crab fishery”</w:t>
      </w:r>
      <w:r>
        <w:t xml:space="preserve"> </w:t>
      </w:r>
      <w:r>
        <w:t xml:space="preserve">(also presented in May 2024 and now in review for external publication). It is unclear if there is any relationship between clutch fullness and recruitment, though preliminary analyses suggest clutch fullness is not an important covariate for predicting recruitment strength.</w:t>
      </w:r>
    </w:p>
    <w:p>
      <w:pPr>
        <w:pStyle w:val="BodyText"/>
      </w:pPr>
      <w:r>
        <w:t xml:space="preserve">These analyses come with the caveat that the Kodiak lab is revising their methods for analyzing the maturity data for snow crab.</w:t>
      </w:r>
    </w:p>
    <w:p>
      <w:pPr>
        <w:pStyle w:val="BodyText"/>
      </w:pPr>
      <w:r>
        <w:rPr>
          <w:i/>
          <w:iCs/>
        </w:rPr>
        <w:t xml:space="preserve">2025(6) SSC. To explore development of an ABC control rule, the SSC requests that a yield per recruit analysis be developed for snow crab.</w:t>
      </w:r>
      <w:r>
        <w:t xml:space="preserve"> </w:t>
      </w:r>
      <w:r>
        <w:t xml:space="preserve">Time did not allow for this exercise.</w:t>
      </w:r>
    </w:p>
    <w:p>
      <w:pPr>
        <w:pStyle w:val="BodyText"/>
      </w:pPr>
      <w:r>
        <w:rPr>
          <w:i/>
          <w:iCs/>
        </w:rPr>
        <w:t xml:space="preserve">2024(10) SSC. SSC recommends standardizing the approach to the Tier 4 fallback across BBRKC, Tanner and snow crab assessments so that the same methods are used for each including all mature male biomass, a BMSY proxy based on the time-series of REMA-smoothed survey estimates and an FMSY proxy based on the best estimate of natural mortality (from the Tier 3 model). As the SSC intends the Tier 4 calculation only as a fallback if the Tier 3 analysis fails to converge, no other Tier 4 calculations need to be included in future assessments.</w:t>
      </w:r>
    </w:p>
    <w:p>
      <w:pPr>
        <w:pStyle w:val="BodyText"/>
      </w:pPr>
      <w:r>
        <w:t xml:space="preserve">In the 2025 document, Tier 4 HCRs were applied to rema-smoothed survey biomass estimates of three different size ranges: morphometrically mature males, large males (&gt;=95mm), and preferred males (&gt;101mm). The target biomass was set as the average of the time series from 1982-2024 and the target fishing mortality was set as 0.27, the median of the prior on natural mortality used in the integrated assessment. No kink exists in this harvest control rule. The resulting OFLs were 28.41 kt, 8.64 kt, and 6.11 kt for morphometric, large, and preferred males, respectively.</w:t>
      </w:r>
    </w:p>
    <w:p>
      <w:pPr>
        <w:pStyle w:val="BodyText"/>
      </w:pPr>
      <w:r>
        <w:rPr>
          <w:i/>
          <w:iCs/>
        </w:rPr>
        <w:t xml:space="preserve">2024(10) SSC. The SSC highlighted that more research is needed on the basic reproductive biology of snow crab, specifically addressing the question of whether small males can and do mate with large females and produce progeny that will be large males under the right environmental conditions. The SSC strongly supports the proposed collaborative research to explore in situ observations of mating crab using a camera sled.</w:t>
      </w:r>
      <w:r>
        <w:t xml:space="preserve"> </w:t>
      </w:r>
      <w:r>
        <w:t xml:space="preserve">We agree and no new research has been conducted within this timeframe.</w:t>
      </w:r>
    </w:p>
    <w:p>
      <w:pPr>
        <w:pStyle w:val="BodyText"/>
      </w:pPr>
      <w:r>
        <w:rPr>
          <w:i/>
          <w:iCs/>
        </w:rPr>
        <w:t xml:space="preserve">2024(10) SSC. The highest priority would be to continue to refine the Maximin analysis as requested by the SSC in June 2024, specially using values of steepness of 0.50, 0.67, and 0.80, and considering both the Beverton-Holt and Ricker stock recruitment relationships. The yield analysis also indicated that fishing mortality rates much lower than F35% achieved a high percentage of MSY, indicating potential flexibility in specifying reference points. The SSC suggested that some type of collaborative work during the spring, perhaps including SSC members and/or others might facilitate additional progress on this topic. The SSC is interested in developing a wider range of options for reference points for snow crab for consideration in the next assessment cycle.</w:t>
      </w:r>
      <w:r>
        <w:t xml:space="preserve"> </w:t>
      </w:r>
      <w:r>
        <w:t xml:space="preserve">The analysis was not extended beyond what was presented in appendix A of the 2024 SAFE and would be of limited use until we know more about reproductive contribution of large male snow crab. The specific values for steepness noted by the SSC are arbitrary and do not match observations, estimates, or available data on the reproductive dynamics of snow crab. Until then, we know that the fishery will not exist without large males and we know that the large males are at historical lows, so we should focus our efforts on understanding the dynamics of large males.</w:t>
      </w:r>
    </w:p>
    <w:p>
      <w:pPr>
        <w:pStyle w:val="BodyText"/>
      </w:pPr>
      <w:r>
        <w:rPr>
          <w:i/>
          <w:iCs/>
        </w:rPr>
        <w:t xml:space="preserve">2024(10) SSC. The SSC again requests an analysis of the probability of maturing/terminal molt which addresses the observation error in these data and the lack of a monotonically increasing curve. A hierarchical analysis that treats years as random effects might be a starting point. The SSC would also like to better understand the sampling design for the molt data and is concerned about the weighting of the spatial samples in the analysis; weighting should be based on abundance if the sampling rate differs by area (which it would, unless abundance were uniform and/or the targets were in direct proportion to abundance).</w:t>
      </w:r>
      <w:r>
        <w:t xml:space="preserve"> </w:t>
      </w:r>
      <w:r>
        <w:t xml:space="preserve">The Kodiak lab gave a presentation describing how these data are analyzed. Potential changes to this workflow produces different values for the probability of having undergone terminal molt. Two models runs are included within the 2025 preliminary assessment and the current document to explore the impact of different assumptions about the probability of terminal molt.</w:t>
      </w:r>
    </w:p>
    <w:p>
      <w:pPr>
        <w:pStyle w:val="BodyText"/>
      </w:pPr>
      <w:r>
        <w:rPr>
          <w:i/>
          <w:iCs/>
        </w:rPr>
        <w:t xml:space="preserve">2024(10) SSC. Investigate whether there is information outside the assessment model (e.g., larval or post-settlement data) or in the model, supporting estimated skewed sex-ratios at recruitment and the mismatch between recent large recruitments for males and females occurring in different years. Explore whether the estimated large differences in male and female recruitment years could be related to the lack of fit to molt-increment data.</w:t>
      </w:r>
      <w:r>
        <w:t xml:space="preserve"> </w:t>
      </w:r>
      <w:r>
        <w:t xml:space="preserve">No new information has come to light on why this might be the case. Previous discussion centered around the possibility that different spatial distributions by sex of small crab could expose them to different environments, which could alter what we perceive as recruitment five years after settlement. While this difference is an interesting scientific question to pursue, solving it will not address the central problem in management: commercially preferred males are at historic lows over the last decade. Removing the females from the model entirely might be a prudent step towards focusing on the most pressing management problem at hand given conflicting trends.</w:t>
      </w:r>
    </w:p>
    <w:p>
      <w:pPr>
        <w:pStyle w:val="BodyText"/>
      </w:pPr>
      <w:r>
        <w:rPr>
          <w:i/>
          <w:iCs/>
        </w:rPr>
        <w:t xml:space="preserve">2024(10) SSC. Geostatistical (e.g. VAST) modeling of trawl survey data including both the NBS and EBS should be prioritized. This could help understand some of the inconsistent recruitment/growth trends observed in recent years as well as prepare for potential changes in stock distribution or productivity under future warming of the Bering Sea. Geostatistical modeling should evaluate alternative error distributions and other model configurations as appropriate.</w:t>
      </w:r>
      <w:r>
        <w:t xml:space="preserve"> </w:t>
      </w:r>
      <w:r>
        <w:t xml:space="preserve">The Kodiak lab presented indices for mature females and large males in the 2025 May CPT.</w:t>
      </w:r>
    </w:p>
    <w:p>
      <w:pPr>
        <w:pStyle w:val="BodyText"/>
      </w:pPr>
      <w:r>
        <w:rPr>
          <w:i/>
          <w:iCs/>
        </w:rPr>
        <w:t xml:space="preserve">2024(6) CPT. Tier 4 fallback - CPT supports: The author suggested an alternative for snow crab to the basic Tier 4 calculation that is being brought forward for other stocks. Specifically, a fallback Tier 4 option would be calculated as the vulnerable biomass in this year’s survey (not smoothed, and vulnerable defined by a cutoff of 95 mm CW), decremented by the proportion of natural mortality that occurs between the time of the survey and the fishery, and M applied as the proxy for FMSY to calculate the Tier 4 OFL. The motivations identified for using the annual survey design-based estimate of vulnerable biomass rather than a REMA smooth through the survey time series were: 1) that the high number of positive stations for snow crab on survey (238 stations in 2023) make the design-based estimate a robust measure of annual biomass; and 2) that the large interannual fluctuations in biomass observed in some recent years would be poorly captured by a smooth. The motivation for decrementing the biomass estimate by the proportion of natural mortality occurring between the survey and the fishery is that failing to account for this mortality could lead to unintentionally high values of F if the Tier 4 fallback was used.</w:t>
      </w:r>
      <w:r>
        <w:t xml:space="preserve"> </w:t>
      </w:r>
      <w:r>
        <w:t xml:space="preserve">No response.</w:t>
      </w:r>
    </w:p>
    <w:p>
      <w:pPr>
        <w:pStyle w:val="BodyText"/>
      </w:pPr>
      <w:r>
        <w:rPr>
          <w:i/>
          <w:iCs/>
        </w:rPr>
        <w:t xml:space="preserve">2024(6) SSC. Concerning the GMACS assessment model, the SSC continues to recommend that the assessment author explore ways to incorporate the molt to maturity data in the model in a way that reflects the observation error associated with those estimates. An analysis in a GLMM modeling framework, which treats years as random effects, would provide smoother estimates, accommodate differing sample sizes by year and length, and deal appropriately with years in which data are missing. Another possibility that was suggested in the CPT report was to include the annual observed probabilities of terminal molt as data and then fit them, as in the Tanner crab assessment.</w:t>
      </w:r>
    </w:p>
    <w:p>
      <w:pPr>
        <w:pStyle w:val="BodyText"/>
      </w:pPr>
      <w:r>
        <w:t xml:space="preserve">The observation error is not considered when preparing the data that enters the assessment, so it is hard to understand how trying to consider uncertainty in the model that doesn’t exist in the input data will provide meaningful results. I will try to do a better job of explaining this in my presentations. This is not to say there is no uncertainty in the probability of undergoing terminal molt, only that it is a less pressing problem than identifying appropriate reference points for snow crab.</w:t>
      </w:r>
    </w:p>
    <w:p>
      <w:pPr>
        <w:pStyle w:val="BodyText"/>
      </w:pPr>
      <w:r>
        <w:rPr>
          <w:i/>
          <w:iCs/>
        </w:rPr>
        <w:t xml:space="preserve">2024(6) SSC. The SSC recommends that this model be brought forward in the fall but requests that an additional Tier 4 model be provided for comparison, as recommended in the Simpler Modeling Workshop report and requested in the SSC’s June 2023 and October 2023 Reports. This additional model would use the random effects model (REMA) to smooth survey estimates and would not decrement with natural mortality.</w:t>
      </w:r>
      <w:r>
        <w:t xml:space="preserve"> </w:t>
      </w:r>
      <w:r>
        <w:t xml:space="preserve">This is included in 2024 SAFE document.</w:t>
      </w:r>
    </w:p>
    <w:p>
      <w:r>
        <w:br w:type="page"/>
      </w:r>
    </w:p>
    <w:bookmarkEnd w:id="21"/>
    <w:bookmarkEnd w:id="22"/>
    <w:bookmarkStart w:id="25" w:name="c.-assessment-scenarios"/>
    <w:p>
      <w:pPr>
        <w:pStyle w:val="Heading1"/>
      </w:pPr>
      <w:r>
        <w:t xml:space="preserve">C. Assessment scenarios</w:t>
      </w:r>
    </w:p>
    <w:bookmarkStart w:id="23" w:name="model-summaries"/>
    <w:p>
      <w:pPr>
        <w:pStyle w:val="Heading2"/>
      </w:pPr>
      <w:r>
        <w:t xml:space="preserve">Model summaries</w:t>
      </w:r>
    </w:p>
    <w:p>
      <w:pPr>
        <w:pStyle w:val="FirstParagraph"/>
      </w:pPr>
      <w:r>
        <w:t xml:space="preserve">The key assumptions of these models include:</w:t>
      </w:r>
    </w:p>
    <w:p>
      <w:pPr>
        <w:numPr>
          <w:ilvl w:val="0"/>
          <w:numId w:val="1001"/>
        </w:numPr>
      </w:pPr>
      <w:r>
        <w:t xml:space="preserve">the probability of terminally molting at size varies over time and size and is specified based on observations from the survey data</w:t>
      </w:r>
    </w:p>
    <w:p>
      <w:pPr>
        <w:numPr>
          <w:ilvl w:val="0"/>
          <w:numId w:val="1001"/>
        </w:numPr>
      </w:pPr>
      <w:r>
        <w:t xml:space="preserve">survey selectivity is estimated by era (1982-88; 1989-present) and sex as a non-parametric curve subject to priors based on the BSFRF survey efficiency experiment data</w:t>
      </w:r>
    </w:p>
    <w:p>
      <w:pPr>
        <w:numPr>
          <w:ilvl w:val="0"/>
          <w:numId w:val="1001"/>
        </w:numPr>
      </w:pPr>
      <w:r>
        <w:t xml:space="preserve">growth is a linear function of pre-molt carapace width with a specified variability around post-molt size</w:t>
      </w:r>
    </w:p>
    <w:p>
      <w:pPr>
        <w:numPr>
          <w:ilvl w:val="0"/>
          <w:numId w:val="1001"/>
        </w:numPr>
      </w:pPr>
      <w:r>
        <w:t xml:space="preserve">all immature crab molt</w:t>
      </w:r>
    </w:p>
    <w:p>
      <w:pPr>
        <w:numPr>
          <w:ilvl w:val="0"/>
          <w:numId w:val="1001"/>
        </w:numPr>
      </w:pPr>
      <w:r>
        <w:t xml:space="preserve">natural mortality is estimated by sex and maturity state with additional mortality events estimated in 2018 and 2019 and subject to a prior based on an assumed longevity of 20 years</w:t>
      </w:r>
    </w:p>
    <w:p>
      <w:pPr>
        <w:numPr>
          <w:ilvl w:val="0"/>
          <w:numId w:val="1001"/>
        </w:numPr>
      </w:pPr>
      <w:r>
        <w:t xml:space="preserve">total and retained fishery selectivity are estimated logistic curves</w:t>
      </w:r>
    </w:p>
    <w:p>
      <w:pPr>
        <w:numPr>
          <w:ilvl w:val="0"/>
          <w:numId w:val="1001"/>
        </w:numPr>
      </w:pPr>
      <w:r>
        <w:t xml:space="preserve">all non-directed bycatch (e.g. snow crab caught in the Tanner crab fishery or crab caught in the non-pelagic trawl fisheries) is lumped into a single</w:t>
      </w:r>
      <w:r>
        <w:t xml:space="preserve"> </w:t>
      </w:r>
      <w:r>
        <w:t xml:space="preserve">‘fishery’</w:t>
      </w:r>
      <w:r>
        <w:t xml:space="preserve"> </w:t>
      </w:r>
      <w:r>
        <w:t xml:space="preserve">for which a single selectivity is estimated</w:t>
      </w:r>
    </w:p>
    <w:p>
      <w:pPr>
        <w:numPr>
          <w:ilvl w:val="0"/>
          <w:numId w:val="1001"/>
        </w:numPr>
      </w:pPr>
      <w:r>
        <w:t xml:space="preserve">recruitment is estimated separately for females and males and is allocated in the first 3 size bins</w:t>
      </w:r>
    </w:p>
    <w:bookmarkEnd w:id="23"/>
    <w:bookmarkStart w:id="24" w:name="model-scenarios"/>
    <w:p>
      <w:pPr>
        <w:pStyle w:val="Heading2"/>
      </w:pPr>
      <w:r>
        <w:t xml:space="preserve">Model scenarios</w:t>
      </w:r>
    </w:p>
    <w:p>
      <w:pPr>
        <w:pStyle w:val="FirstParagraph"/>
      </w:pPr>
      <w:r>
        <w:t xml:space="preserve">A total of 14 models were explored All models share the structural assumptions described above and differ only in the version of GMACs, their data inputs, the specification of the maturity ogive, and the definition of the plus group. The naming convention reflects an additive series of changes layered onto the September 2025 model (</w:t>
      </w:r>
      <w:r>
        <w:t xml:space="preserve">‘25.1 gmacs’</w:t>
      </w:r>
      <w:r>
        <w:t xml:space="preserve">). The full set of folders and the corresponding labels used in the figures and tables are defined in</w:t>
      </w:r>
      <w:r>
        <w:t xml:space="preserve"> </w:t>
      </w:r>
      <w:r>
        <w:rPr>
          <w:rStyle w:val="VerbatimChar"/>
        </w:rPr>
        <w:t xml:space="preserve">0-models.R</w:t>
      </w:r>
      <w:r>
        <w:t xml:space="preserve">.</w:t>
      </w:r>
    </w:p>
    <w:p>
      <w:pPr>
        <w:pStyle w:val="BodyText"/>
      </w:pPr>
      <w:r>
        <w:t xml:space="preserve">The base (</w:t>
      </w:r>
      <w:r>
        <w:t xml:space="preserve">‘rolled forward’</w:t>
      </w:r>
      <w:r>
        <w:t xml:space="preserve">) model:</w:t>
      </w:r>
    </w:p>
    <w:p>
      <w:pPr>
        <w:numPr>
          <w:ilvl w:val="0"/>
          <w:numId w:val="1002"/>
        </w:numPr>
      </w:pPr>
      <w:r>
        <w:rPr>
          <w:b/>
          <w:bCs/>
        </w:rPr>
        <w:t xml:space="preserve">25.1 gmacs</w:t>
      </w:r>
      <w:r>
        <w:t xml:space="preserve"> </w:t>
      </w:r>
      <w:r>
        <w:t xml:space="preserve">– the September 2025 author-recommended model, included for reference only. No data are updated and no structural changes are made.</w:t>
      </w:r>
    </w:p>
    <w:p>
      <w:pPr>
        <w:numPr>
          <w:ilvl w:val="0"/>
          <w:numId w:val="1002"/>
        </w:numPr>
      </w:pPr>
      <w:r>
        <w:rPr>
          <w:b/>
          <w:bCs/>
        </w:rPr>
        <w:t xml:space="preserve">25.1 gmacs (update)</w:t>
      </w:r>
      <w:r>
        <w:t xml:space="preserve"> </w:t>
      </w:r>
      <w:r>
        <w:t xml:space="preserve">– the September 2025 model using the updated version of GMACs (2.20.34; ** AEP **; Compiled 2026-01-15).</w:t>
      </w:r>
    </w:p>
    <w:p>
      <w:pPr>
        <w:pStyle w:val="FirstParagraph"/>
      </w:pPr>
      <w:r>
        <w:t xml:space="preserve">A series of incremental data and structural fixes:</w:t>
      </w:r>
    </w:p>
    <w:p>
      <w:pPr>
        <w:pStyle w:val="Compact"/>
        <w:numPr>
          <w:ilvl w:val="0"/>
          <w:numId w:val="1003"/>
        </w:numPr>
      </w:pPr>
      <w:r>
        <w:rPr>
          <w:b/>
          <w:bCs/>
        </w:rPr>
        <w:t xml:space="preserve">25.1 gmacs (update + compfix)</w:t>
      </w:r>
      <w:r>
        <w:t xml:space="preserve"> </w:t>
      </w:r>
      <w:r>
        <w:t xml:space="preserve">– as</w:t>
      </w:r>
      <w:r>
        <w:t xml:space="preserve"> </w:t>
      </w:r>
      <w:r>
        <w:t xml:space="preserve">‘update’</w:t>
      </w:r>
      <w:r>
        <w:t xml:space="preserve">, but the total male composition data was updated to correct a small discrepancy between the file used in September 2025 and the version produced by the script.</w:t>
      </w:r>
    </w:p>
    <w:p>
      <w:pPr>
        <w:pStyle w:val="FirstParagraph"/>
      </w:pPr>
      <w:r>
        <w:t xml:space="preserve">@Cody</w:t>
      </w:r>
      <w:r>
        <w:t xml:space="preserve">, add why?</w:t>
      </w:r>
    </w:p>
    <w:p>
      <w:pPr>
        <w:numPr>
          <w:ilvl w:val="0"/>
          <w:numId w:val="1004"/>
        </w:numPr>
      </w:pPr>
      <w:r>
        <w:rPr>
          <w:b/>
          <w:bCs/>
        </w:rPr>
        <w:t xml:space="preserve">25.1 gmacs (update + plus group)</w:t>
      </w:r>
      <w:r>
        <w:t xml:space="preserve"> </w:t>
      </w:r>
      <w:r>
        <w:t xml:space="preserve">– as</w:t>
      </w:r>
      <w:r>
        <w:t xml:space="preserve"> </w:t>
      </w:r>
      <w:r>
        <w:t xml:space="preserve">‘update’</w:t>
      </w:r>
      <w:r>
        <w:t xml:space="preserve">, but the plus group is enlarged to include all crab greater than 135 mm carapace width (the previous model ignored all crab larger than 135 mm) for the retained male, total male, and discard female composition data. This model ran substantially faster (23 min, 9 sec) than the</w:t>
      </w:r>
      <w:r>
        <w:t xml:space="preserve"> </w:t>
      </w:r>
      <w:r>
        <w:t xml:space="preserve">‘update’</w:t>
      </w:r>
      <w:r>
        <w:t xml:space="preserve"> </w:t>
      </w:r>
      <w:r>
        <w:t xml:space="preserve">model (29 min, 2 sec) and provides the structural backbone for several of the sensitivities below.</w:t>
      </w:r>
    </w:p>
    <w:p>
      <w:pPr>
        <w:numPr>
          <w:ilvl w:val="0"/>
          <w:numId w:val="1004"/>
        </w:numPr>
      </w:pPr>
      <w:r>
        <w:rPr>
          <w:b/>
          <w:bCs/>
        </w:rPr>
        <w:t xml:space="preserve">25.1 gmacs (update + imm_surv + compfix)</w:t>
      </w:r>
      <w:r>
        <w:t xml:space="preserve"> </w:t>
      </w:r>
      <w:r>
        <w:t xml:space="preserve">and</w:t>
      </w:r>
      <w:r>
        <w:t xml:space="preserve"> </w:t>
      </w:r>
      <w:r>
        <w:rPr>
          <w:b/>
          <w:bCs/>
        </w:rPr>
        <w:t xml:space="preserve">25.1 gmacs (update + imm_surv + plus group)</w:t>
      </w:r>
      <w:r>
        <w:t xml:space="preserve"> </w:t>
      </w:r>
      <w:r>
        <w:t xml:space="preserve">– as</w:t>
      </w:r>
      <w:r>
        <w:t xml:space="preserve"> </w:t>
      </w:r>
      <w:r>
        <w:t xml:space="preserve">‘compfix’</w:t>
      </w:r>
      <w:r>
        <w:t xml:space="preserve"> </w:t>
      </w:r>
      <w:r>
        <w:t xml:space="preserve">and</w:t>
      </w:r>
      <w:r>
        <w:t xml:space="preserve"> </w:t>
      </w:r>
      <w:r>
        <w:t xml:space="preserve">‘plus group’</w:t>
      </w:r>
      <w:r>
        <w:t xml:space="preserve">, respectively, but with an immature survey index of biomass added. The immature index provides direct information on the abundance of immature crab and was found to remove the bimodality observed in jitter analyses (see Results).</w:t>
      </w:r>
    </w:p>
    <w:p>
      <w:pPr>
        <w:pStyle w:val="FirstParagraph"/>
      </w:pPr>
      <w:r>
        <w:t xml:space="preserve">Maturity scenarios:</w:t>
      </w:r>
    </w:p>
    <w:p>
      <w:pPr>
        <w:pStyle w:val="Compact"/>
        <w:numPr>
          <w:ilvl w:val="0"/>
          <w:numId w:val="1005"/>
        </w:numPr>
      </w:pPr>
      <w:r>
        <w:rPr>
          <w:b/>
          <w:bCs/>
        </w:rPr>
        <w:t xml:space="preserve">25.1 gmacs (update + new_mat)</w:t>
      </w:r>
      <w:r>
        <w:t xml:space="preserve"> </w:t>
      </w:r>
      <w:r>
        <w:t xml:space="preserve">– as</w:t>
      </w:r>
      <w:r>
        <w:t xml:space="preserve"> </w:t>
      </w:r>
      <w:r>
        <w:t xml:space="preserve">‘update’</w:t>
      </w:r>
      <w:r>
        <w:t xml:space="preserve">, but with the molting probability controls (the time- and size-varying probability of terminal molt) replaced with the array produced by the new maturity workflow developed by the Kodiak lab (E. Ryznar, in prep). The new workflow uses an</w:t>
      </w:r>
      <w:r>
        <w:t xml:space="preserve"> </w:t>
      </w:r>
      <w:r>
        <w:rPr>
          <w:rStyle w:val="VerbatimChar"/>
        </w:rPr>
        <w:t xml:space="preserve">sdmTMB</w:t>
      </w:r>
      <w:r>
        <w:t xml:space="preserve"> </w:t>
      </w:r>
      <w:r>
        <w:t xml:space="preserve">spatiotemporal model fit to chela-based maturity classifications to produce a smoothed probability of being mature at size and location, integrated to a population-level annual ogive. The updated time series shows a much weaker temporal trend in the probability of terminal molt at intermediate sizes (e.g., at 77 mm) than the previous workflow. The updated maturity ogive resulted in differing time-series of mature male survey abundance and mature and immature male composition data.</w:t>
      </w:r>
    </w:p>
    <w:p>
      <w:pPr>
        <w:pStyle w:val="FirstParagraph"/>
      </w:pPr>
      <w:r>
        <w:t xml:space="preserve">@Cody</w:t>
      </w:r>
      <w:r>
        <w:t xml:space="preserve">, should immature time-series also vary? Should females also vary?</w:t>
      </w:r>
    </w:p>
    <w:p>
      <w:pPr>
        <w:numPr>
          <w:ilvl w:val="0"/>
          <w:numId w:val="1006"/>
        </w:numPr>
      </w:pPr>
      <w:r>
        <w:rPr>
          <w:b/>
          <w:bCs/>
        </w:rPr>
        <w:t xml:space="preserve">25.1 gmacs (update + new_mat + compfix)</w:t>
      </w:r>
      <w:r>
        <w:t xml:space="preserve"> </w:t>
      </w:r>
      <w:r>
        <w:t xml:space="preserve">– combination of the comp-fix and the new maturity workflow.</w:t>
      </w:r>
    </w:p>
    <w:p>
      <w:pPr>
        <w:numPr>
          <w:ilvl w:val="0"/>
          <w:numId w:val="1006"/>
        </w:numPr>
      </w:pPr>
      <w:r>
        <w:rPr>
          <w:b/>
          <w:bCs/>
        </w:rPr>
        <w:t xml:space="preserve">25.1 gmacs (update + new_mat + plus group)</w:t>
      </w:r>
      <w:r>
        <w:t xml:space="preserve"> </w:t>
      </w:r>
      <w:r>
        <w:t xml:space="preserve">– combination of the plus group and the new maturity workflow.</w:t>
      </w:r>
    </w:p>
    <w:p>
      <w:pPr>
        <w:numPr>
          <w:ilvl w:val="0"/>
          <w:numId w:val="1006"/>
        </w:numPr>
      </w:pPr>
      <w:r>
        <w:rPr>
          <w:b/>
          <w:bCs/>
        </w:rPr>
        <w:t xml:space="preserve">25.1 gmacs (update + new_mat + imm_surv + plus group)</w:t>
      </w:r>
      <w:r>
        <w:t xml:space="preserve"> </w:t>
      </w:r>
      <w:r>
        <w:t xml:space="preserve">– combination of plus group, new maturity workflow, and the immature survey index.</w:t>
      </w:r>
    </w:p>
    <w:p>
      <w:pPr>
        <w:pStyle w:val="FirstParagraph"/>
      </w:pPr>
      <w:r>
        <w:t xml:space="preserve">Hybrid scenarios.</w:t>
      </w:r>
    </w:p>
    <w:p>
      <w:pPr>
        <w:pStyle w:val="BodyText"/>
      </w:pPr>
      <w:r>
        <w:t xml:space="preserve">Hybrid catch and composition data were provided by ADF&amp;G (T. Jackson, ADF&amp;G Commercial Fisheries) as a separate species code lumped across opilio-type, bairdi-type, and unspecified hybrids; weights were calculated using snow crab length–weight parameters because the overwhelming majority of hybrids are of the opilio type. These data are</w:t>
      </w:r>
      <w:r>
        <w:t xml:space="preserve"> </w:t>
      </w:r>
      <w:r>
        <w:rPr>
          <w:i/>
          <w:iCs/>
        </w:rPr>
        <w:t xml:space="preserve">additive</w:t>
      </w:r>
      <w:r>
        <w:t xml:space="preserve"> </w:t>
      </w:r>
      <w:r>
        <w:t xml:space="preserve">to the existing snow-crab time-series, except for retained catch which already contains hybrids landed under the snow-crab IFQ.</w:t>
      </w:r>
    </w:p>
    <w:p>
      <w:pPr>
        <w:numPr>
          <w:ilvl w:val="0"/>
          <w:numId w:val="1007"/>
        </w:numPr>
      </w:pPr>
      <w:r>
        <w:rPr>
          <w:b/>
          <w:bCs/>
        </w:rPr>
        <w:t xml:space="preserve">25.1 gmacs (update + hyb_fishery)</w:t>
      </w:r>
      <w:r>
        <w:t xml:space="preserve"> </w:t>
      </w:r>
      <w:r>
        <w:t xml:space="preserve">– the plus-group model with hybrids added to the directed-fishery composition and discard time-series. The CV on directed discards is held at 0.7. The retained male time-series uses is identical to the snow-crab retained file because retained catch already contains hybrids and not seperately recorded. Observer non-directed bycatch is left unchanged.</w:t>
      </w:r>
    </w:p>
    <w:p>
      <w:pPr>
        <w:numPr>
          <w:ilvl w:val="0"/>
          <w:numId w:val="1007"/>
        </w:numPr>
      </w:pPr>
      <w:r>
        <w:rPr>
          <w:b/>
          <w:bCs/>
        </w:rPr>
        <w:t xml:space="preserve">25.1 gmacs (update + hyb_surv)</w:t>
      </w:r>
      <w:r>
        <w:t xml:space="preserve"> </w:t>
      </w:r>
      <w:r>
        <w:t xml:space="preserve">– the plus-group model with hybrid catch and composition added to the NMFS summer trawl survey time-series and composition data.</w:t>
      </w:r>
    </w:p>
    <w:p>
      <w:pPr>
        <w:numPr>
          <w:ilvl w:val="0"/>
          <w:numId w:val="1007"/>
        </w:numPr>
      </w:pPr>
      <w:r>
        <w:rPr>
          <w:b/>
          <w:bCs/>
        </w:rPr>
        <w:t xml:space="preserve">25.1 gmacs (update + hyb_both)</w:t>
      </w:r>
      <w:r>
        <w:t xml:space="preserve"> </w:t>
      </w:r>
      <w:r>
        <w:t xml:space="preserve">– combination of</w:t>
      </w:r>
      <w:r>
        <w:t xml:space="preserve"> </w:t>
      </w:r>
      <w:r>
        <w:rPr>
          <w:rStyle w:val="VerbatimChar"/>
        </w:rPr>
        <w:t xml:space="preserve">hyb_fishery</w:t>
      </w:r>
      <w:r>
        <w:t xml:space="preserve"> </w:t>
      </w:r>
      <w:r>
        <w:t xml:space="preserve">and</w:t>
      </w:r>
      <w:r>
        <w:t xml:space="preserve"> </w:t>
      </w:r>
      <w:r>
        <w:rPr>
          <w:rStyle w:val="VerbatimChar"/>
        </w:rPr>
        <w:t xml:space="preserve">hyb_surv</w:t>
      </w:r>
      <w:r>
        <w:t xml:space="preserve">.</w:t>
      </w:r>
    </w:p>
    <w:p>
      <w:pPr>
        <w:numPr>
          <w:ilvl w:val="0"/>
          <w:numId w:val="1007"/>
        </w:numPr>
      </w:pPr>
      <w:r>
        <w:rPr>
          <w:b/>
          <w:bCs/>
        </w:rPr>
        <w:t xml:space="preserve">25.1 gmacs (update + hyb_both + new_mat)</w:t>
      </w:r>
      <w:r>
        <w:t xml:space="preserve"> </w:t>
      </w:r>
      <w:r>
        <w:t xml:space="preserve">– combination of</w:t>
      </w:r>
      <w:r>
        <w:t xml:space="preserve"> </w:t>
      </w:r>
      <w:r>
        <w:rPr>
          <w:rStyle w:val="VerbatimChar"/>
        </w:rPr>
        <w:t xml:space="preserve">hyb_both</w:t>
      </w:r>
      <w:r>
        <w:t xml:space="preserve"> </w:t>
      </w:r>
      <w:r>
        <w:t xml:space="preserve">and the new maturity workflow.</w:t>
      </w:r>
    </w:p>
    <w:p>
      <w:pPr>
        <w:pStyle w:val="FirstParagraph"/>
      </w:pPr>
      <w:r>
        <w:t xml:space="preserve">@Cody</w:t>
      </w:r>
      <w:r>
        <w:t xml:space="preserve"> </w:t>
      </w:r>
      <w:r>
        <w:t xml:space="preserve">TODO: update survey indices and comp for models with hybrids and newmat. Mat was only updated in ctl file. Script is super buggy.</w:t>
      </w:r>
    </w:p>
    <w:bookmarkEnd w:id="24"/>
    <w:bookmarkEnd w:id="25"/>
    <w:bookmarkStart w:id="28" w:name="d.-analytic-approach"/>
    <w:p>
      <w:pPr>
        <w:pStyle w:val="Heading1"/>
      </w:pPr>
      <w:r>
        <w:t xml:space="preserve">D. Analytic approach</w:t>
      </w:r>
    </w:p>
    <w:bookmarkStart w:id="26" w:name="model-description"/>
    <w:p>
      <w:pPr>
        <w:pStyle w:val="Heading2"/>
      </w:pPr>
      <w:r>
        <w:t xml:space="preserve">Model description</w:t>
      </w:r>
    </w:p>
    <w:p>
      <w:pPr>
        <w:pStyle w:val="FirstParagraph"/>
      </w:pPr>
      <w:r>
        <w:t xml:space="preserve">The Generalized Model for Assessing Crustacean Stocks (GMACS) was adopted as the assessment platform for snow crab in 2022 after a demonstration that GMACS could effectively reproduce the dynamics of the status quo model and offered structural improvements. GMACS is an integrated, size-structured model developed using automatic differentiation software developed as a set of libraries under C++ (ADModel Builder). ADModel Builder can estimate a large number of parameters in a non-linear model using automatic differentiation software extended from Greiwank and Corliss (1991) and developed into C++ class libraries. GMACS version 2.20.32b was used for the author-preferred model.</w:t>
      </w:r>
    </w:p>
    <w:p>
      <w:pPr>
        <w:pStyle w:val="BodyText"/>
      </w:pPr>
      <w:r>
        <w:t xml:space="preserve">The snow crab population dynamics model tracks the number of crab of sex</w:t>
      </w:r>
      <w:r>
        <w:t xml:space="preserve"> </w:t>
      </w:r>
      <w:r>
        <w:rPr>
          <w:i/>
          <w:iCs/>
        </w:rPr>
        <w:t xml:space="preserve">s</w:t>
      </w:r>
      <w:r>
        <w:t xml:space="preserve">, maturity state</w:t>
      </w:r>
      <w:r>
        <w:t xml:space="preserve"> </w:t>
      </w:r>
      <w:r>
        <w:rPr>
          <w:i/>
          <w:iCs/>
        </w:rPr>
        <w:t xml:space="preserve">m</w:t>
      </w:r>
      <w:r>
        <w:t xml:space="preserve">, during year</w:t>
      </w:r>
      <w:r>
        <w:t xml:space="preserve"> </w:t>
      </w:r>
      <w:r>
        <w:rPr>
          <w:i/>
          <w:iCs/>
        </w:rPr>
        <w:t xml:space="preserve">y</w:t>
      </w:r>
      <w:r>
        <w:t xml:space="preserve"> </w:t>
      </w:r>
      <w:r>
        <w:t xml:space="preserve">at width</w:t>
      </w:r>
      <w:r>
        <w:t xml:space="preserve"> </w:t>
      </w:r>
      <w:r>
        <w:rPr>
          <w:i/>
          <w:iCs/>
        </w:rPr>
        <w:t xml:space="preserve">w</w:t>
      </w:r>
      <w:r>
        <w:t xml:space="preserve">, N</w:t>
      </w:r>
      <w:r>
        <w:rPr>
          <w:i/>
          <w:iCs/>
          <w:vertAlign w:val="subscript"/>
        </w:rPr>
        <w:t xml:space="preserve">s,m,y,w</w:t>
      </w:r>
      <w:r>
        <w:t xml:space="preserve">. A terminal molt was modeled in which crab move from an immature to a mature state, after which no further molting occurred. The mid-points of the size bins tracked in the model spanned from 27.5 to 132.5 mm carapace width, with 5 mm size classes. For the author-preferred model, 407 parameters were estimated. Parameters estimated within the assessment included those associated with the population processes recruitment, growth, natural mortality (subject to an informative prior and two years of additional</w:t>
      </w:r>
      <w:r>
        <w:t xml:space="preserve"> </w:t>
      </w:r>
      <w:r>
        <w:t xml:space="preserve">‘mortality events’</w:t>
      </w:r>
      <w:r>
        <w:t xml:space="preserve"> </w:t>
      </w:r>
      <w:r>
        <w:t xml:space="preserve">estimated in 2018 and 2019), fishing mortality, selectivity (fisheries and survey), and catchability. The yearly probability of undergoing terminal molt, weight at size, discard mortality, bycatch mortality, variance in growth increment, and parameters associated with proportion of recruitment allocated to size bin were estimated outside of the model or specified. See the GMACS repo linked at the end of this document to peruse the control files that specify the populations dynamics.</w:t>
      </w:r>
    </w:p>
    <w:p>
      <w:pPr>
        <w:pStyle w:val="BodyText"/>
      </w:pPr>
      <w:r>
        <w:t xml:space="preserve">A</w:t>
      </w:r>
      <w:r>
        <w:t xml:space="preserve"> </w:t>
      </w:r>
      <w:r>
        <w:t xml:space="preserve">‘jittering’</w:t>
      </w:r>
      <w:r>
        <w:t xml:space="preserve"> </w:t>
      </w:r>
      <w:r>
        <w:t xml:space="preserve">approach has been historically used to explore the impact of different starting values on the assessment output (Turnock, 2016). Jittering was implemented for both models with 2025 data. Retrospective analyses were also performed here in which the terminal year of data was removed sequentially from the model fitting process. Then time series of estimated MMB were compared between the most recent model and successive</w:t>
      </w:r>
      <w:r>
        <w:t xml:space="preserve"> </w:t>
      </w:r>
      <w:r>
        <w:t xml:space="preserve">‘peels’</w:t>
      </w:r>
      <w:r>
        <w:t xml:space="preserve"> </w:t>
      </w:r>
      <w:r>
        <w:t xml:space="preserve">of the data to identify retrospective patterns. A retrospective pattern is a consistent directional change in assessment estimates of management quantities (e.g. MMB) in a given year when additional years of data are added to an assessment. Parameter values were jittered based on a normal distribution centered on one with a standard deviation of 0.1 that was then translated to the parameter space defined by the initial value and its bounds.</w:t>
      </w:r>
    </w:p>
    <w:p>
      <w:pPr>
        <w:pStyle w:val="BodyText"/>
      </w:pPr>
      <w:r>
        <w:t xml:space="preserve">A single population dynamics model is presented here, with the differences among the model runs related to data inputs and assumptions about reference points or currency of management.</w:t>
      </w:r>
    </w:p>
    <w:bookmarkEnd w:id="26"/>
    <w:bookmarkStart w:id="27" w:name="model-selection-and-evaluation"/>
    <w:p>
      <w:pPr>
        <w:pStyle w:val="Heading2"/>
      </w:pPr>
      <w:r>
        <w:t xml:space="preserve">Model selection and evaluation</w:t>
      </w:r>
    </w:p>
    <w:p>
      <w:pPr>
        <w:pStyle w:val="FirstParagraph"/>
      </w:pPr>
      <w:r>
        <w:t xml:space="preserve">Models were evaluated based on their fit to the data, evidence of non-convergence, the credibility of the estimated population processes, and the strength of the influence of the assumptions of the model on the outcomes of the assessment. Note that for some of the model scenarios, data inputs are different and, therefore, model fits are not directly compareable.</w:t>
      </w:r>
    </w:p>
    <w:bookmarkEnd w:id="27"/>
    <w:bookmarkEnd w:id="28"/>
    <w:bookmarkStart w:id="33" w:name="e.-results"/>
    <w:p>
      <w:pPr>
        <w:pStyle w:val="Heading1"/>
      </w:pPr>
      <w:r>
        <w:t xml:space="preserve">E. Results</w:t>
      </w:r>
    </w:p>
    <w:bookmarkStart w:id="29" w:name="model-convergence-and-comparison"/>
    <w:p>
      <w:pPr>
        <w:pStyle w:val="Heading3"/>
      </w:pPr>
      <w:r>
        <w:t xml:space="preserve">Model convergence and comparison</w:t>
      </w:r>
    </w:p>
    <w:p>
      <w:pPr>
        <w:pStyle w:val="FirstParagraph"/>
      </w:pPr>
      <w:r>
        <w:t xml:space="preserve">All 14 models presented here produced small maximum gradients and Hessian matrices. As in past cycles, jittering was used to evaluate sensitivity to starting values: parameter values were jittered based on a normal distribution centered on one with a standard deviation of 0.1, translated to the parameter space defined by the initial value and its bounds. One hundred jitters were run for four models that span the range of structural and data choices –</w:t>
      </w:r>
      <w:r>
        <w:t xml:space="preserve"> </w:t>
      </w:r>
      <w:r>
        <w:t xml:space="preserve">‘25.1 gmacs (update + plus group)’</w:t>
      </w:r>
      <w:r>
        <w:t xml:space="preserve">,</w:t>
      </w:r>
      <w:r>
        <w:t xml:space="preserve"> </w:t>
      </w:r>
      <w:r>
        <w:t xml:space="preserve">‘25.1 gmacs (update + new_mat + plus group)’</w:t>
      </w:r>
      <w:r>
        <w:t xml:space="preserve">,</w:t>
      </w:r>
      <w:r>
        <w:t xml:space="preserve"> </w:t>
      </w:r>
      <w:r>
        <w:t xml:space="preserve">‘25.1 gmacs (update + hyb_both)’</w:t>
      </w:r>
      <w:r>
        <w:t xml:space="preserve">, and</w:t>
      </w:r>
      <w:r>
        <w:t xml:space="preserve"> </w:t>
      </w:r>
      <w:r>
        <w:t xml:space="preserve">‘25.1 gmacs (update + hyb_both + new_mat)’</w:t>
      </w:r>
      <w:r>
        <w:t xml:space="preserve">(</w:t>
      </w:r>
      <w:r>
        <w:t xml:space="preserve">).</w:t>
      </w:r>
    </w:p>
    <w:p>
      <w:pPr>
        <w:pStyle w:val="BodyText"/>
      </w:pPr>
      <w:r>
        <w:t xml:space="preserve">The bimodality in management quantities reported in the 2025 preliminary and final assessments persists in most of the 2026 candidate models that do</w:t>
      </w:r>
      <w:r>
        <w:t xml:space="preserve"> </w:t>
      </w:r>
      <w:r>
        <w:rPr>
          <w:i/>
          <w:iCs/>
        </w:rPr>
        <w:t xml:space="preserve">not</w:t>
      </w:r>
      <w:r>
        <w:t xml:space="preserve"> </w:t>
      </w:r>
      <w:r>
        <w:t xml:space="preserve">include the immature survey index, with two distinct clouds of converged models separated by ~50–100 negative-log-likelihood units and OFLs that differ by several thousand tonnes. Adding the immature survey index alongside the updated plus group (</w:t>
      </w:r>
      <w:r>
        <w:t xml:space="preserve">‘25.1 gmacs (update + imm_surv + plus group)’</w:t>
      </w:r>
      <w:r>
        <w:t xml:space="preserve">) eliminates the bimodality entirely – jitter runs converge to a single cloud of solutions (</w:t>
      </w:r>
      <w:r>
        <w:t xml:space="preserve">). This is an encouraging diagnostic, but the immature-index model also produces a substantially smaller</w:t>
      </w:r>
      <w:r>
        <w:t xml:space="preserve"> </w:t>
      </w:r>
      <m:oMath>
        <m:sSub>
          <m:e>
            <m:r>
              <m:t>B</m:t>
            </m:r>
          </m:e>
          <m:sub>
            <m:r>
              <m:t>M</m:t>
            </m:r>
            <m:r>
              <m:t>S</m:t>
            </m:r>
            <m:r>
              <m:t>Y</m:t>
            </m:r>
          </m:sub>
        </m:sSub>
      </m:oMath>
      <w:r>
        <w:t xml:space="preserve"> </w:t>
      </w:r>
      <w:r>
        <w:t xml:space="preserve">and a much higher mature male natural mortality (see below), so the apparent fix should not be interpreted as an unqualified improvement. The recent history of bimodality in this assessment (Turnock, 2016) suggests that resolving the underlying source of multiple optima will require careful follow-up before September.</w:t>
      </w:r>
    </w:p>
    <w:p>
      <w:pPr>
        <w:pStyle w:val="BodyText"/>
      </w:pPr>
      <w:r>
        <w:t xml:space="preserve">The</w:t>
      </w:r>
      <w:r>
        <w:t xml:space="preserve"> </w:t>
      </w:r>
      <w:r>
        <w:t xml:space="preserve">‘update’</w:t>
      </w:r>
      <w:r>
        <w:t xml:space="preserve"> </w:t>
      </w:r>
      <w:r>
        <w:t xml:space="preserve">model continues to have difficulty fitting the terminal year of female biomass. Inputting a yearly varying probability of terminal molt from the new maturity workflow (</w:t>
      </w:r>
      <w:r>
        <w:t xml:space="preserve">‘new_mat’</w:t>
      </w:r>
      <w:r>
        <w:t xml:space="preserve"> </w:t>
      </w:r>
      <w:r>
        <w:t xml:space="preserve">models) shifts the estimated population dynamics modestly but does not resolve the female terminal-year fit (</w:t>
      </w:r>
      <w:r>
        <w:t xml:space="preserve">,</w:t>
      </w:r>
      <w:r>
        <w:t xml:space="preserve"> </w:t>
      </w:r>
      <w:r>
        <w:t xml:space="preserve">).</w:t>
      </w:r>
    </w:p>
    <w:bookmarkEnd w:id="29"/>
    <w:bookmarkStart w:id="30" w:name="model-fits"/>
    <w:p>
      <w:pPr>
        <w:pStyle w:val="Heading3"/>
      </w:pPr>
      <w:r>
        <w:t xml:space="preserve">Model fits</w:t>
      </w:r>
    </w:p>
    <w:p>
      <w:pPr>
        <w:pStyle w:val="FirstParagraph"/>
      </w:pPr>
      <w:r>
        <w:t xml:space="preserve">Fits to the survey indices of mature biomass were broadly similar across the models (</w:t>
      </w:r>
      <w:r>
        <w:t xml:space="preserve">). The hybrid-survey models produce visibly higher predicted survey biomass in some years (the additional hybrid biomass is added to the snow-crab time-series), but the trend through time is unchanged. The models with the immature survey index (</w:t>
      </w:r>
      <w:r>
        <w:t xml:space="preserve">‘imm_surv’</w:t>
      </w:r>
      <w:r>
        <w:t xml:space="preserve">) fit the new immature index well in recent years.</w:t>
      </w:r>
    </w:p>
    <w:p>
      <w:pPr>
        <w:pStyle w:val="BodyText"/>
      </w:pPr>
      <w:r>
        <w:t xml:space="preserve">Fits to the non-directed fishery catches were good for all models (</w:t>
      </w:r>
      <w:r>
        <w:t xml:space="preserve">). Fits to the directed-fishery retained catch were also good across the model set. Fits to the directed-fishery discard time-series differ in the hybrid-fishery models because the observed discards in those models include hybrid crab (and so are larger; e.g., ~18 kt of legal-male hybrid catch in 1997 reported by ADF&amp;G with the caveat that observer hybrid identification quality decreases the further back in time one looks). The models accommodate the additional discards primarily through changes in estimated discard fishing mortality rather than through major changes in selectivity.</w:t>
      </w:r>
    </w:p>
    <w:p>
      <w:pPr>
        <w:pStyle w:val="BodyText"/>
      </w:pPr>
      <w:r>
        <w:t xml:space="preserve">Differences among models in the fits to size composition data for retained catch in the directed fishery are small (size composition figures, below). Fits to the total size composition data from the directed fishery differ noticeably between the standard and the hybrid-fishery models, particularly for the larger size bins where hybrids are most prevalent. No visually discernible differences among models existed for female discards from the directed fishery. Fits to the non-directed fishery had some of the largest misfits of all data sources (particularly for male data), but this is unsurprising given a single estimated selectivity curve and potential changes in fishery behavior over time.</w:t>
      </w:r>
    </w:p>
    <w:p>
      <w:pPr>
        <w:pStyle w:val="BodyText"/>
      </w:pPr>
      <w:r>
        <w:t xml:space="preserve">Fits to the survey size composition data were broadly similar across models in most years (size composition figures, below). The plus-group change (extending the plus group to all crab &gt; 135 mm) makes a small visual difference for retained males but improves the runtime of the model substantially. All models had difficulty fitting the size composition data for mature males immediately after the early-1990s collapse, which could suggest some unmodelled size-based mortality.</w:t>
      </w:r>
    </w:p>
    <w:bookmarkEnd w:id="30"/>
    <w:bookmarkStart w:id="31" w:name="estimated-population-processes"/>
    <w:p>
      <w:pPr>
        <w:pStyle w:val="Heading3"/>
      </w:pPr>
      <w:r>
        <w:t xml:space="preserve">Estimated population processes</w:t>
      </w:r>
    </w:p>
    <w:p>
      <w:pPr>
        <w:pStyle w:val="FirstParagraph"/>
      </w:pPr>
      <w:r>
        <w:t xml:space="preserve">The estimated abundance of commercially preferred male crab (&gt;=101 mm carapace width; arguably the most important output of the assessment) varied among models (</w:t>
      </w:r>
      <w:r>
        <w:t xml:space="preserve">). The early years during which differences in survey selectivity occurred were particularly different. All models agreed that the abundance in recent years has been the lowest in the time series. The estimates of the most recent era of survey selectivity were similar across models for both sexes (</w:t>
      </w:r>
      <w:r>
        <w:t xml:space="preserve">).</w:t>
      </w:r>
    </w:p>
    <w:p>
      <w:pPr>
        <w:pStyle w:val="BodyText"/>
      </w:pPr>
      <w:r>
        <w:t xml:space="preserve">Estimated fisheries selectivities were similar across models (</w:t>
      </w:r>
      <w:r>
        <w:t xml:space="preserve">). Estimated fully-selected fishing mortality for the directed fishery was highly variable and relatively high for most of the fishery history (</w:t>
      </w:r>
      <w:r>
        <w:t xml:space="preserve">). The total fishery selectivity curve is shifted far to the right, so only the largest crab experience the fully-selected fishing mortality. The probability of undergoing terminal molt is input as data; the standard workflow produces a strong increasing trend through time at intermediate sizes (e.g., at 77 mm the probability rose from ~0.2 in the early 1990s to ~0.5 after 2010), while the new maturity workflow produces a much weaker temporal trend (~0.35–0.45 throughout the time series;</w:t>
      </w:r>
      <w:r>
        <w:t xml:space="preserve"> </w:t>
      </w:r>
      <w:r>
        <w:t xml:space="preserve">). The new workflow uses a spatiotemporal</w:t>
      </w:r>
      <w:r>
        <w:t xml:space="preserve"> </w:t>
      </w:r>
      <w:r>
        <w:rPr>
          <w:rStyle w:val="VerbatimChar"/>
        </w:rPr>
        <w:t xml:space="preserve">sdmTMB</w:t>
      </w:r>
      <w:r>
        <w:t xml:space="preserve"> </w:t>
      </w:r>
      <w:r>
        <w:t xml:space="preserve">model fit to chela-based maturity classifications and borrows strength across years and locations for size bins with sparse chela data; it does not extrapolate the predicted spatial probability surface beyond stations with measured crab.</w:t>
      </w:r>
    </w:p>
    <w:p>
      <w:pPr>
        <w:pStyle w:val="BodyText"/>
      </w:pPr>
      <w:r>
        <w:t xml:space="preserve">Trends in recruitment were very similar across models for the early time series, with some variability in scale and differences in timing between the sexes (</w:t>
      </w:r>
      <w:r>
        <w:t xml:space="preserve">). Differences in estimated recruitment in the most recent years were observed among models for males and contribute to differences in OFLs across the model set.</w:t>
      </w:r>
    </w:p>
    <w:p>
      <w:pPr>
        <w:pStyle w:val="BodyText"/>
      </w:pPr>
      <w:r>
        <w:t xml:space="preserve">Base estimates of natural mortality for mature animals of both sexes were broadly similar across models, with one important exception: the model with the immature survey index produces a substantially higher mature male natural mortality than the other models (</w:t>
      </w:r>
      <w:r>
        <w:t xml:space="preserve">). All models estimated additional mortality events that removed at least 80% of crab by sex and maturity state (except for mature females) at some point during the marine heatwave of 2018–19.</w:t>
      </w:r>
    </w:p>
    <w:bookmarkEnd w:id="31"/>
    <w:bookmarkStart w:id="32" w:name="mmb-and-management-quantities"/>
    <w:p>
      <w:pPr>
        <w:pStyle w:val="Heading3"/>
      </w:pPr>
      <w:r>
        <w:t xml:space="preserve">MMB and management quantities</w:t>
      </w:r>
    </w:p>
    <w:p>
      <w:pPr>
        <w:pStyle w:val="FirstParagraph"/>
      </w:pPr>
      <w:r>
        <w:t xml:space="preserve">Estimated mature male biomass time series had similar trends across models but the scales differed by up to ~50% in some years (</w:t>
      </w:r>
      <w:r>
        <w:t xml:space="preserve">). Estimates of</w:t>
      </w:r>
      <w:r>
        <w:t xml:space="preserve"> </w:t>
      </w:r>
      <m:oMath>
        <m:sSub>
          <m:e>
            <m:r>
              <m:t>B</m:t>
            </m:r>
          </m:e>
          <m:sub>
            <m:r>
              <m:t>M</m:t>
            </m:r>
            <m:r>
              <m:t>S</m:t>
            </m:r>
            <m:r>
              <m:t>Y</m:t>
            </m:r>
          </m:sub>
        </m:sSub>
      </m:oMath>
      <w:r>
        <w:t xml:space="preserve">, current MMB relative to</w:t>
      </w:r>
      <w:r>
        <w:t xml:space="preserve"> </w:t>
      </w:r>
      <m:oMath>
        <m:sSub>
          <m:e>
            <m:r>
              <m:t>B</m:t>
            </m:r>
          </m:e>
          <m:sub>
            <m:r>
              <m:t>M</m:t>
            </m:r>
            <m:r>
              <m:t>S</m:t>
            </m:r>
            <m:r>
              <m:t>Y</m:t>
            </m:r>
          </m:sub>
        </m:sSub>
      </m:oMath>
      <w:r>
        <w:t xml:space="preserve">,</w:t>
      </w:r>
      <w:r>
        <w:t xml:space="preserve"> </w:t>
      </w:r>
      <m:oMath>
        <m:sSub>
          <m:e>
            <m:r>
              <m:t>F</m:t>
            </m:r>
          </m:e>
          <m:sub>
            <m:r>
              <m:t>M</m:t>
            </m:r>
            <m:r>
              <m:t>S</m:t>
            </m:r>
            <m:r>
              <m:t>Y</m:t>
            </m:r>
          </m:sub>
        </m:sSub>
      </m:oMath>
      <w:r>
        <w:t xml:space="preserve">,</w:t>
      </w:r>
      <w:r>
        <w:t xml:space="preserve"> </w:t>
      </w:r>
      <m:oMath>
        <m:sSub>
          <m:e>
            <m:r>
              <m:t>F</m:t>
            </m:r>
          </m:e>
          <m:sub>
            <m:r>
              <m:t>O</m:t>
            </m:r>
            <m:r>
              <m:t>F</m:t>
            </m:r>
            <m:r>
              <m:t>L</m:t>
            </m:r>
          </m:sub>
        </m:sSub>
      </m:oMath>
      <w:r>
        <w:t xml:space="preserve">, and the directed Tier 3 OFL are summarized in</w:t>
      </w:r>
      <w:r>
        <w:t xml:space="preserve"> </w:t>
      </w:r>
      <w:r>
        <w:t xml:space="preserve">. Across models other than the immature-index sensitivity,</w:t>
      </w:r>
      <w:r>
        <w:t xml:space="preserve"> </w:t>
      </w:r>
      <m:oMath>
        <m:sSub>
          <m:e>
            <m:r>
              <m:t>B</m:t>
            </m:r>
          </m:e>
          <m:sub>
            <m:r>
              <m:t>M</m:t>
            </m:r>
            <m:r>
              <m:t>S</m:t>
            </m:r>
            <m:r>
              <m:t>Y</m:t>
            </m:r>
          </m:sub>
        </m:sSub>
      </m:oMath>
      <w:r>
        <w:t xml:space="preserve"> </w:t>
      </w:r>
      <w:r>
        <w:t xml:space="preserve">ranged from ~160 to ~184 kt and the directed OFL ranged from ~42 to ~56 kt, with current MMB at 87–102% of</w:t>
      </w:r>
      <w:r>
        <w:t xml:space="preserve"> </w:t>
      </w:r>
      <m:oMath>
        <m:sSub>
          <m:e>
            <m:r>
              <m:t>B</m:t>
            </m:r>
          </m:e>
          <m:sub>
            <m:r>
              <m:t>M</m:t>
            </m:r>
            <m:r>
              <m:t>S</m:t>
            </m:r>
            <m:r>
              <m:t>Y</m:t>
            </m:r>
          </m:sub>
        </m:sSub>
      </m:oMath>
      <w:r>
        <w:t xml:space="preserve">. The immature-index plus-group model produced an outlier</w:t>
      </w:r>
      <w:r>
        <w:t xml:space="preserve"> </w:t>
      </w:r>
      <m:oMath>
        <m:sSub>
          <m:e>
            <m:r>
              <m:t>B</m:t>
            </m:r>
          </m:e>
          <m:sub>
            <m:r>
              <m:t>M</m:t>
            </m:r>
            <m:r>
              <m:t>S</m:t>
            </m:r>
            <m:r>
              <m:t>Y</m:t>
            </m:r>
          </m:sub>
        </m:sSub>
      </m:oMath>
      <w:r>
        <w:t xml:space="preserve"> </w:t>
      </w:r>
      <w:r>
        <w:t xml:space="preserve">of 94 kt and an OFL of ~36 kt despite achieving a similar status; this large difference results from the much larger estimated mature male natural mortality in that model, which propagates into the spawning biomass-per-recruit reference points.</w:t>
      </w:r>
    </w:p>
    <w:p>
      <w:pPr>
        <w:pStyle w:val="BodyText"/>
      </w:pPr>
      <w:r>
        <w:t xml:space="preserve">The hybrid-fishery and hybrid-both models produced slightly lower</w:t>
      </w:r>
      <w:r>
        <w:t xml:space="preserve"> </w:t>
      </w:r>
      <m:oMath>
        <m:sSub>
          <m:e>
            <m:r>
              <m:t>B</m:t>
            </m:r>
          </m:e>
          <m:sub>
            <m:r>
              <m:t>M</m:t>
            </m:r>
            <m:r>
              <m:t>S</m:t>
            </m:r>
            <m:r>
              <m:t>Y</m:t>
            </m:r>
          </m:sub>
        </m:sSub>
      </m:oMath>
      <w:r>
        <w:t xml:space="preserve"> </w:t>
      </w:r>
      <w:r>
        <w:t xml:space="preserve">proxies (~166–170 kt) than the corresponding non-hybrid models (~178–184 kt), reflecting the additional fishing mortality implied by the larger discard time-series. The new-maturity models produced</w:t>
      </w:r>
      <w:r>
        <w:t xml:space="preserve"> </w:t>
      </w:r>
      <m:oMath>
        <m:sSub>
          <m:e>
            <m:r>
              <m:t>B</m:t>
            </m:r>
          </m:e>
          <m:sub>
            <m:r>
              <m:t>M</m:t>
            </m:r>
            <m:r>
              <m:t>S</m:t>
            </m:r>
            <m:r>
              <m:t>Y</m:t>
            </m:r>
          </m:sub>
        </m:sSub>
      </m:oMath>
      <w:r>
        <w:t xml:space="preserve"> </w:t>
      </w:r>
      <w:r>
        <w:t xml:space="preserve">proxies near the lower end of the non-hybrid range (~172 kt) but the highest OFLs (~50–52 kt) because the weaker time trend in the probability of terminal molt translates into more crab being available at the size bins targeted by the fishery in the projection window.</w:t>
      </w:r>
    </w:p>
    <w:bookmarkEnd w:id="32"/>
    <w:bookmarkEnd w:id="33"/>
    <w:bookmarkStart w:id="37" w:name="f.-calculation-of-the-ofl"/>
    <w:p>
      <w:pPr>
        <w:pStyle w:val="Heading1"/>
      </w:pPr>
      <w:r>
        <w:t xml:space="preserve">F. Calculation of the OFL</w:t>
      </w:r>
    </w:p>
    <w:bookmarkStart w:id="36" w:name="methodology-for-ofl"/>
    <w:p>
      <w:pPr>
        <w:pStyle w:val="Heading2"/>
      </w:pPr>
      <w:r>
        <w:t xml:space="preserve">Methodology for OFL</w:t>
      </w:r>
    </w:p>
    <w:bookmarkStart w:id="34" w:name="tier-3"/>
    <w:p>
      <w:pPr>
        <w:pStyle w:val="Heading3"/>
      </w:pPr>
      <w:r>
        <w:t xml:space="preserve">Tier 3</w:t>
      </w:r>
    </w:p>
    <w:p>
      <w:pPr>
        <w:pStyle w:val="FirstParagraph"/>
      </w:pPr>
      <w:r>
        <w:t xml:space="preserve">Historically, the tier 3 OFL was calculated using proxies for biomass and fishing mortality reference points and a sloped control rule. Proxies for biomass and fishing mortality reference points were calculated using spawning-biomass-per-recruit methods (e.g. Clark, 1991). After fitting the assessment model to the data and estimating population parameters, the model was projected forward 100 years using the estimated parameters under no exploitation and constant recruitment to determine</w:t>
      </w:r>
      <w:r>
        <w:t xml:space="preserve"> </w:t>
      </w:r>
      <w:r>
        <w:t xml:space="preserve">‘unfished’</w:t>
      </w:r>
      <w:r>
        <w:t xml:space="preserve"> </w:t>
      </w:r>
      <w:r>
        <w:t xml:space="preserve">mature male biomass-per-recruit. Projections were repeated in which the bisection method was used to identify a fishing mortality that reduced the mature male biomass-per-recruit to 35% of the unfished level (i.e. F</w:t>
      </w:r>
      <w:r>
        <w:rPr>
          <w:vertAlign w:val="subscript"/>
        </w:rPr>
        <w:t xml:space="preserve">35%</w:t>
      </w:r>
      <w:r>
        <w:t xml:space="preserve"> </w:t>
      </w:r>
      <w:r>
        <w:t xml:space="preserve">and B</w:t>
      </w:r>
      <w:r>
        <w:rPr>
          <w:vertAlign w:val="subscript"/>
        </w:rPr>
        <w:t xml:space="preserve">35%</w:t>
      </w:r>
      <w:r>
        <w:t xml:space="preserve">). Calculations of F</w:t>
      </w:r>
      <w:r>
        <w:rPr>
          <w:i/>
          <w:iCs/>
          <w:vertAlign w:val="subscript"/>
        </w:rPr>
        <w:t xml:space="preserve">35%</w:t>
      </w:r>
      <w:r>
        <w:t xml:space="preserve"> </w:t>
      </w:r>
      <w:r>
        <w:t xml:space="preserve">were made under the assumption that bycatch fishing mortality was equal to the estimated average value over the last 10 years.</w:t>
      </w:r>
    </w:p>
    <w:p>
      <w:pPr>
        <w:pStyle w:val="BodyText"/>
      </w:pPr>
      <w:r>
        <w:t xml:space="preserve">Calculated values of F</w:t>
      </w:r>
      <w:r>
        <w:rPr>
          <w:vertAlign w:val="subscript"/>
        </w:rPr>
        <w:t xml:space="preserve">35%</w:t>
      </w:r>
      <w:r>
        <w:t xml:space="preserve"> </w:t>
      </w:r>
      <w:r>
        <w:t xml:space="preserve">and B</w:t>
      </w:r>
      <w:r>
        <w:rPr>
          <w:vertAlign w:val="subscript"/>
        </w:rPr>
        <w:t xml:space="preserve">35%</w:t>
      </w:r>
      <w:r>
        <w:t xml:space="preserve"> </w:t>
      </w:r>
      <w:r>
        <w:t xml:space="preserve">were used in conjunction with a Tier 3 control rule to adjust the proportion of F</w:t>
      </w:r>
      <w:r>
        <w:rPr>
          <w:vertAlign w:val="subscript"/>
        </w:rPr>
        <w:t xml:space="preserve">35%</w:t>
      </w:r>
      <w:r>
        <w:t xml:space="preserve"> </w:t>
      </w:r>
      <w:r>
        <w:t xml:space="preserve">that is applied to the stock based on the status of the population relative to B</w:t>
      </w:r>
      <w:r>
        <w:rPr>
          <w:vertAlign w:val="subscript"/>
        </w:rPr>
        <w:t xml:space="preserve">35%</w:t>
      </w:r>
      <w:r>
        <w:t xml:space="preserve"> </w:t>
      </w:r>
      <w:r>
        <w:t xml:space="preserve">(Amendment 24, NMFS). To determine the F</w:t>
      </w:r>
      <w:r>
        <w:rPr>
          <w:vertAlign w:val="subscript"/>
        </w:rPr>
        <w:t xml:space="preserve">OFL</w:t>
      </w:r>
      <w:r>
        <w:t xml:space="preserve">, the population is projected to the time of fishing for the upcoming fishery under no fishing. If the MMB at that time exceeds 25% of B</w:t>
      </w:r>
      <w:r>
        <w:rPr>
          <w:vertAlign w:val="subscript"/>
        </w:rPr>
        <w:t xml:space="preserve">35%</w:t>
      </w:r>
      <w:r>
        <w:t xml:space="preserve">, a fishery can occur and the F</w:t>
      </w:r>
      <w:r>
        <w:rPr>
          <w:vertAlign w:val="subscript"/>
        </w:rPr>
        <w:t xml:space="preserve">OFL</w:t>
      </w:r>
      <w:r>
        <w:t xml:space="preserve"> </w:t>
      </w:r>
      <w:r>
        <w:t xml:space="preserve">is calculated as:</w:t>
      </w:r>
    </w:p>
    <w:p>
      <w:pPr>
        <w:pStyle w:val="BodyText"/>
      </w:pPr>
    </w:p>
    <w:p>
      <w:pPr>
        <w:pStyle w:val="BodyText"/>
      </w:pPr>
      <w:r>
        <w:t xml:space="preserve">Where MMB is the projected morphometrically mature male biomass in the current survey year after fishing at the F</w:t>
      </w:r>
      <w:r>
        <w:rPr>
          <w:i/>
          <w:iCs/>
          <w:vertAlign w:val="subscript"/>
        </w:rPr>
        <w:t xml:space="preserve">OFL</w:t>
      </w:r>
      <w:r>
        <w:t xml:space="preserve">, B</w:t>
      </w:r>
      <w:r>
        <w:rPr>
          <w:i/>
          <w:iCs/>
          <w:vertAlign w:val="subscript"/>
        </w:rPr>
        <w:t xml:space="preserve">35%</w:t>
      </w:r>
      <w:r>
        <w:t xml:space="preserve"> </w:t>
      </w:r>
      <w:r>
        <w:t xml:space="preserve">is the mature male biomass at the time of mating resulting from fishing at F</w:t>
      </w:r>
      <w:r>
        <w:rPr>
          <w:i/>
          <w:iCs/>
          <w:vertAlign w:val="subscript"/>
        </w:rPr>
        <w:t xml:space="preserve">35%</w:t>
      </w:r>
      <w:r>
        <w:t xml:space="preserve">, F</w:t>
      </w:r>
      <w:r>
        <w:rPr>
          <w:i/>
          <w:iCs/>
          <w:vertAlign w:val="subscript"/>
        </w:rPr>
        <w:t xml:space="preserve">35%</w:t>
      </w:r>
      <w:r>
        <w:t xml:space="preserve"> </w:t>
      </w:r>
      <w:r>
        <w:t xml:space="preserve">is the fishing mortality that reduces the morphometrically mature male biomass per recruit to 35% of unfished levels, and</w:t>
      </w:r>
      <w:r>
        <w:t xml:space="preserve"> </w:t>
      </w:r>
      <m:oMath>
        <m:r>
          <m:t>α</m:t>
        </m:r>
      </m:oMath>
      <w:r>
        <w:t xml:space="preserve"> </w:t>
      </w:r>
      <w:r>
        <w:t xml:space="preserve">determines the slope of the descending limb of the harvest control rule (set to 0.1 here).</w:t>
      </w:r>
    </w:p>
    <w:p>
      <w:pPr>
        <w:pStyle w:val="BodyText"/>
      </w:pPr>
      <w:r>
        <w:t xml:space="preserve">In addition to the status quo tier 3 control rule, a variation in which &gt;=95mm carapace width mature male biomass was used as the currency of management is presented here.</w:t>
      </w:r>
    </w:p>
    <w:p>
      <w:pPr>
        <w:pStyle w:val="BodyText"/>
      </w:pPr>
      <w:r>
        <w:t xml:space="preserve">Calculated Tier 3 OFLs across the 14 candidate models ranged from approximately 36 to 56 kt (</w:t>
      </w:r>
      <w:r>
        <w:t xml:space="preserve">). Differences in OFLs were a result of differences in estimated MMB and the currency used for MMB; the immature-survey-index sensitivity sat at the low end of the range and the new-maturity sensitivities sat at the high end.</w:t>
      </w:r>
    </w:p>
    <w:bookmarkEnd w:id="34"/>
    <w:bookmarkStart w:id="35" w:name="tier-4"/>
    <w:p>
      <w:pPr>
        <w:pStyle w:val="Heading3"/>
      </w:pPr>
      <w:r>
        <w:t xml:space="preserve">Tier 4</w:t>
      </w:r>
    </w:p>
    <w:p>
      <w:pPr>
        <w:pStyle w:val="FirstParagraph"/>
      </w:pPr>
      <w:r>
        <w:t xml:space="preserve">A Tier 4 fallback was not recalculated for this preliminary cycle. For reference, the September 2025 assessment applied Tier 4 HCRs to REMA-smoothed survey biomass estimates of three size ranges: morphometrically mature males, large males (&gt;=95mm), and preferred males (&gt;101mm), with the target biomass set as the 1982-2024 average and target fishing mortality set as 0.27 (the median of the prior on natural mortality). The resulting 2025 OFLs were 28.41 kt, 8.64 kt, and 6.11 kt for morphometric, large, and preferred males, respectively. An updated Tier 4 calculation following the standardized Tier 4 fallback recommended by the October 2024 SSC will be presented in the September 2026 document for whichever Tier 3 model is preferred.</w:t>
      </w:r>
    </w:p>
    <w:bookmarkEnd w:id="35"/>
    <w:bookmarkEnd w:id="36"/>
    <w:bookmarkEnd w:id="37"/>
    <w:bookmarkStart w:id="39" w:name="g.-calculation-of-the-abc"/>
    <w:p>
      <w:pPr>
        <w:pStyle w:val="Heading1"/>
      </w:pPr>
      <w:r>
        <w:t xml:space="preserve">G. Calculation of the ABC</w:t>
      </w:r>
    </w:p>
    <w:p>
      <w:pPr>
        <w:pStyle w:val="FirstParagraph"/>
      </w:pPr>
      <w:r>
        <w:t xml:space="preserve">The recommended acceptable biological catch (ABC) is calculated by subtracting a 20% buffer from the OFL to account for scientific uncertainty.</w:t>
      </w:r>
    </w:p>
    <w:p>
      <w:pPr>
        <w:pStyle w:val="BodyText"/>
      </w:pPr>
      <w:r>
        <w:t xml:space="preserve">The buffers for the last six years used by the SSC were: 25% (2025), 65% (2024), 50% (2023), (October 2022 SSC reports are not available online), 25% (2021), and 25% (2020).</w:t>
      </w:r>
    </w:p>
    <w:p>
      <w:r>
        <w:br w:type="page"/>
      </w:r>
    </w:p>
    <w:bookmarkStart w:id="38" w:name="author-recommendations"/>
    <w:p>
      <w:pPr>
        <w:pStyle w:val="Heading2"/>
      </w:pPr>
      <w:r>
        <w:t xml:space="preserve">Author recommendations</w:t>
      </w:r>
    </w:p>
    <w:p>
      <w:pPr>
        <w:pStyle w:val="FirstParagraph"/>
      </w:pPr>
      <w:r>
        <w:t xml:space="preserve">This document is preliminary and no author-recommended OFL is presented. The author requests CPT and SSC guidance on which subset of the 14 candidate models to advance to the September 2026 final assessment cycle. Specifically, the author requests guidance on:</w:t>
      </w:r>
    </w:p>
    <w:p>
      <w:pPr>
        <w:numPr>
          <w:ilvl w:val="0"/>
          <w:numId w:val="1008"/>
        </w:numPr>
      </w:pPr>
      <w:r>
        <w:rPr>
          <w:b/>
          <w:bCs/>
        </w:rPr>
        <w:t xml:space="preserve">The plus-group structural change.</w:t>
      </w:r>
      <w:r>
        <w:t xml:space="preserve"> </w:t>
      </w:r>
      <w:r>
        <w:t xml:space="preserve">The updated plus group at &gt;135 mm runs substantially faster, makes the size-composition fits at the largest sizes more interpretable, and does not appreciably change management quantities. The author suggests adopting this as the new structural baseline for September.</w:t>
      </w:r>
    </w:p>
    <w:p>
      <w:pPr>
        <w:numPr>
          <w:ilvl w:val="0"/>
          <w:numId w:val="1008"/>
        </w:numPr>
      </w:pPr>
      <w:r>
        <w:rPr>
          <w:b/>
          <w:bCs/>
        </w:rPr>
        <w:t xml:space="preserve">Inclusion of an immature survey index.</w:t>
      </w:r>
      <w:r>
        <w:t xml:space="preserve"> </w:t>
      </w:r>
      <w:r>
        <w:t xml:space="preserve">Adding the index resolves the long-standing bimodality observed in jitters but produces a substantially smaller</w:t>
      </w:r>
      <w:r>
        <w:t xml:space="preserve"> </w:t>
      </w:r>
      <m:oMath>
        <m:sSub>
          <m:e>
            <m:r>
              <m:t>B</m:t>
            </m:r>
          </m:e>
          <m:sub>
            <m:r>
              <m:t>M</m:t>
            </m:r>
            <m:r>
              <m:t>S</m:t>
            </m:r>
            <m:r>
              <m:t>Y</m:t>
            </m:r>
          </m:sub>
        </m:sSub>
      </m:oMath>
      <w:r>
        <w:t xml:space="preserve"> </w:t>
      </w:r>
      <w:r>
        <w:t xml:space="preserve">proxy and a much larger mature male natural mortality. Before September the author intends to investigate whether the higher M is biologically credible (e.g., consistent with the mortality events implied by the 2018–19 marine heatwave) or whether it reflects model misspecification trying to reconcile the new index with the existing data.</w:t>
      </w:r>
    </w:p>
    <w:p>
      <w:pPr>
        <w:numPr>
          <w:ilvl w:val="0"/>
          <w:numId w:val="1008"/>
        </w:numPr>
      </w:pPr>
      <w:r>
        <w:rPr>
          <w:b/>
          <w:bCs/>
        </w:rPr>
        <w:t xml:space="preserve">The new maturity workflow.</w:t>
      </w:r>
      <w:r>
        <w:t xml:space="preserve"> </w:t>
      </w:r>
      <w:r>
        <w:t xml:space="preserve">The Kodiak lab’s spatiotemporal</w:t>
      </w:r>
      <w:r>
        <w:t xml:space="preserve"> </w:t>
      </w:r>
      <w:r>
        <w:rPr>
          <w:rStyle w:val="VerbatimChar"/>
        </w:rPr>
        <w:t xml:space="preserve">sdmTMB</w:t>
      </w:r>
      <w:r>
        <w:t xml:space="preserve">-based workflow produces a time series with a much weaker temporal trend in the probability of terminal molt at intermediate sizes than the legacy workflow. The author has no strong basis for preferring one workflow over the other at this time and requests CPT/SSC guidance on whether to adopt the new workflow as the default input.</w:t>
      </w:r>
    </w:p>
    <w:p>
      <w:pPr>
        <w:numPr>
          <w:ilvl w:val="0"/>
          <w:numId w:val="1008"/>
        </w:numPr>
      </w:pPr>
      <w:r>
        <w:rPr>
          <w:b/>
          <w:bCs/>
        </w:rPr>
        <w:t xml:space="preserve">Hybrid treatment.</w:t>
      </w:r>
      <w:r>
        <w:t xml:space="preserve"> </w:t>
      </w:r>
      <w:r>
        <w:t xml:space="preserve">The author presents three hybrid sensitivities (fishery only, survey only, and both) layered onto the plus-group base. Including hybrids reduces</w:t>
      </w:r>
      <w:r>
        <w:t xml:space="preserve"> </w:t>
      </w:r>
      <m:oMath>
        <m:sSub>
          <m:e>
            <m:r>
              <m:t>B</m:t>
            </m:r>
          </m:e>
          <m:sub>
            <m:r>
              <m:t>M</m:t>
            </m:r>
            <m:r>
              <m:t>S</m:t>
            </m:r>
            <m:r>
              <m:t>Y</m:t>
            </m:r>
          </m:sub>
        </m:sSub>
      </m:oMath>
      <w:r>
        <w:t xml:space="preserve"> </w:t>
      </w:r>
      <w:r>
        <w:t xml:space="preserve">slightly and changes the directed OFL by a few thousand tonnes. ADF&amp;G has flagged that hybrid identification quality decreases in the older portions of the time series (notably the 1997–98 period when reported hybrid catches were very large) and that ADF&amp;G and NMFS do not currently use identical hybrid identification criteria. The author requests CPT/SSC guidance on whether hybrids should be accounted for in the assessment, and if so whether the fishery-only, survey-only, or combined treatment is preferred.</w:t>
      </w:r>
    </w:p>
    <w:p>
      <w:pPr>
        <w:pStyle w:val="FirstParagraph"/>
      </w:pPr>
      <w:r>
        <w:t xml:space="preserve">For September the author plans to: (a) finalize the plus-group structural change; (b) develop a Tier 4 fallback for whichever Tier 3 model is preferred; (c) complete retrospective analyses for the recommended models; (d) coordinate with ADF&amp;G on a recommended approach to the older hybrid identification data; and (e) coordinate with the Kodiak lab on documentation of the new maturity workflow that can be cited in the assessment.</w:t>
      </w:r>
    </w:p>
    <w:bookmarkEnd w:id="38"/>
    <w:bookmarkEnd w:id="39"/>
    <w:bookmarkStart w:id="40" w:name="h.-data-gaps-and-research-priorities"/>
    <w:p>
      <w:pPr>
        <w:pStyle w:val="Heading1"/>
      </w:pPr>
      <w:r>
        <w:t xml:space="preserve">H. Data gaps and research priorities</w:t>
      </w:r>
    </w:p>
    <w:p>
      <w:pPr>
        <w:pStyle w:val="FirstParagraph"/>
      </w:pPr>
      <w:r>
        <w:t xml:space="preserve">Several data and structural issues identified during the May 2026 cycle warrant follow-up:</w:t>
      </w:r>
    </w:p>
    <w:p>
      <w:pPr>
        <w:numPr>
          <w:ilvl w:val="0"/>
          <w:numId w:val="1009"/>
        </w:numPr>
      </w:pPr>
      <w:r>
        <w:rPr>
          <w:b/>
          <w:bCs/>
        </w:rPr>
        <w:t xml:space="preserve">Hybrid identification consistency between ADF&amp;G and NMFS.</w:t>
      </w:r>
      <w:r>
        <w:t xml:space="preserve"> </w:t>
      </w:r>
      <w:r>
        <w:t xml:space="preserve">ADF&amp;G classifies hybrid crab into three categories (opilio-type, bairdi-type, and unspecified) using a hybrid identification key based on eye color, epistome shape, and secondary morphological characteristics. ADF&amp;G and NMFS do not currently agree on the number of secondary characteristics required for a positive hybrid identification, and the unspecified-hybrid category contains a non-trivial portion of the time series. Resolving identification criteria across agencies and propagating the resulting categorization back through the historical observer time series would improve the hybrid-data products available to the assessment.</w:t>
      </w:r>
    </w:p>
    <w:p>
      <w:pPr>
        <w:numPr>
          <w:ilvl w:val="0"/>
          <w:numId w:val="1009"/>
        </w:numPr>
      </w:pPr>
      <w:r>
        <w:rPr>
          <w:b/>
          <w:bCs/>
        </w:rPr>
        <w:t xml:space="preserve">Apportionment of retained catch between snow crab and hybrids.</w:t>
      </w:r>
      <w:r>
        <w:t xml:space="preserve"> </w:t>
      </w:r>
      <w:r>
        <w:t xml:space="preserve">Hybrids are currently retained under either the snow-crab or the Tanner-crab IFQ depending on regulatory identification but are not separately tracked in the retained-catch data delivered to the assessment. ADF&amp;G has indicated it does not yet have a method for partitioning historical retained catch into hybrid versus parent species. Developing such a partitioning would allow the hybrid sensitivity to be explored more fully (presently the retained time-series is identical between the hybrid and non-hybrid models because retained catch already contains hybrids).</w:t>
      </w:r>
    </w:p>
    <w:p>
      <w:pPr>
        <w:numPr>
          <w:ilvl w:val="0"/>
          <w:numId w:val="1009"/>
        </w:numPr>
      </w:pPr>
      <w:r>
        <w:rPr>
          <w:b/>
          <w:bCs/>
        </w:rPr>
        <w:t xml:space="preserve">Quality control on early hybrid catch estimates.</w:t>
      </w:r>
      <w:r>
        <w:t xml:space="preserve"> </w:t>
      </w:r>
      <w:r>
        <w:t xml:space="preserve">The ADF&amp;G hybrid total-catch estimates contain unexpectedly large values in 1997 (~18 kt of legal-male hybrid catch) and 1998 (~15 kt), with high-CPUE pots peppered around the fishery footprint rather than concentrated in obvious hot spots. ADF&amp;G has flagged these years as requiring follow-up before the data should be considered reliable for assessment use.</w:t>
      </w:r>
    </w:p>
    <w:p>
      <w:pPr>
        <w:numPr>
          <w:ilvl w:val="0"/>
          <w:numId w:val="1009"/>
        </w:numPr>
      </w:pPr>
      <w:r>
        <w:rPr>
          <w:b/>
          <w:bCs/>
        </w:rPr>
        <w:t xml:space="preserve">Maturity workflow comparison.</w:t>
      </w:r>
      <w:r>
        <w:t xml:space="preserve"> </w:t>
      </w:r>
      <w:r>
        <w:t xml:space="preserve">The new spatiotemporal maturity workflow produces a much weaker temporal trend in the probability of terminal molt at size than the legacy workflow. Side-by-side documentation of the two workflows, an evaluation of the spatial sample sizes of chela measurements (which are sparse at many stations and many sizes), and quantification of the degrees of freedom consumed by the spatial process would help the CPT and SSC evaluate the two approaches.</w:t>
      </w:r>
    </w:p>
    <w:p>
      <w:pPr>
        <w:numPr>
          <w:ilvl w:val="0"/>
          <w:numId w:val="1009"/>
        </w:numPr>
      </w:pPr>
      <w:r>
        <w:rPr>
          <w:b/>
          <w:bCs/>
        </w:rPr>
        <w:t xml:space="preserve">Source of bimodality in the snow crab assessment.</w:t>
      </w:r>
      <w:r>
        <w:t xml:space="preserve"> </w:t>
      </w:r>
      <w:r>
        <w:t xml:space="preserve">Although the immature survey index appears to remove the bimodal jitter signal in the May 2026 candidate models, the underlying source of multiple optima is not understood. A focused investigation of which parameter combinations produce the two clouds (e.g., recruitment in the most recent years,</w:t>
      </w:r>
      <w:r>
        <w:t xml:space="preserve"> </w:t>
      </w:r>
      <m:oMath>
        <m:r>
          <m:t>M</m:t>
        </m:r>
      </m:oMath>
      <w:r>
        <w:t xml:space="preserve"> </w:t>
      </w:r>
      <w:r>
        <w:t xml:space="preserve">events, or selectivity parameters) would help clarify whether the immature index is solving a real problem or is masking it.</w:t>
      </w:r>
    </w:p>
    <w:p>
      <w:pPr>
        <w:numPr>
          <w:ilvl w:val="0"/>
          <w:numId w:val="1009"/>
        </w:numPr>
      </w:pPr>
      <w:r>
        <w:rPr>
          <w:b/>
          <w:bCs/>
        </w:rPr>
        <w:t xml:space="preserve">Reproductive biology of large male snow crab.</w:t>
      </w:r>
      <w:r>
        <w:t xml:space="preserve"> </w:t>
      </w:r>
      <w:r>
        <w:t xml:space="preserve">As noted in 2024 and 2025 SSC comments, more research is needed on whether small males can and do mate with large females and produce progeny that will be large males under favorable environmental conditions. This question remains the central scientific uncertainty constraining management because the fishery cannot exist without large males and large males are at historical lows.</w:t>
      </w:r>
    </w:p>
    <w:bookmarkEnd w:id="40"/>
    <w:bookmarkStart w:id="44" w:name="i.-supplemental-information"/>
    <w:p>
      <w:pPr>
        <w:pStyle w:val="Heading1"/>
      </w:pPr>
      <w:r>
        <w:t xml:space="preserve">I. Supplemental information</w:t>
      </w:r>
    </w:p>
    <w:p>
      <w:pPr>
        <w:pStyle w:val="FirstParagraph"/>
      </w:pPr>
      <w:r>
        <w:t xml:space="preserve">Input and output for the models described here can be found at</w:t>
      </w:r>
      <w:r>
        <w:t xml:space="preserve"> </w:t>
      </w:r>
      <w:hyperlink r:id="rId41">
        <w:r>
          <w:rPr>
            <w:rStyle w:val="Hyperlink"/>
          </w:rPr>
          <w:t xml:space="preserve">https://github.com/szuwalski/snow_crab/tree/dev-Grant</w:t>
        </w:r>
      </w:hyperlink>
      <w:r>
        <w:t xml:space="preserve">.</w:t>
      </w:r>
    </w:p>
    <w:p>
      <w:pPr>
        <w:pStyle w:val="BodyText"/>
      </w:pPr>
      <w:r>
        <w:t xml:space="preserve">The new maturity workflow can be found at</w:t>
      </w:r>
      <w:r>
        <w:t xml:space="preserve"> </w:t>
      </w:r>
      <w:hyperlink r:id="rId42">
        <w:r>
          <w:rPr>
            <w:rStyle w:val="Hyperlink"/>
          </w:rPr>
          <w:t xml:space="preserve">https://github.com/eryznar/Chionoecetes.maturity.workflow</w:t>
        </w:r>
      </w:hyperlink>
      <w:r>
        <w:t xml:space="preserve">.</w:t>
      </w:r>
    </w:p>
    <w:p>
      <w:pPr>
        <w:pStyle w:val="BodyText"/>
      </w:pPr>
      <w:r>
        <w:t xml:space="preserve">GMACS code and documentation can be found at:</w:t>
      </w:r>
      <w:r>
        <w:t xml:space="preserve"> </w:t>
      </w:r>
      <w:hyperlink r:id="rId43">
        <w:r>
          <w:rPr>
            <w:rStyle w:val="Hyperlink"/>
          </w:rPr>
          <w:t xml:space="preserve">https://github.com/GMACS-project</w:t>
        </w:r>
      </w:hyperlink>
      <w:r>
        <w:t xml:space="preserve">.</w:t>
      </w:r>
    </w:p>
    <w:p>
      <w:r>
        <w:br w:type="page"/>
      </w:r>
    </w:p>
    <w:bookmarkEnd w:id="44"/>
    <w:bookmarkStart w:id="79" w:name="j.-references"/>
    <w:p>
      <w:pPr>
        <w:pStyle w:val="Heading1"/>
      </w:pPr>
      <w:r>
        <w:t xml:space="preserve">J. References</w:t>
      </w:r>
    </w:p>
    <w:p>
      <w:pPr>
        <w:pStyle w:val="FirstParagraph"/>
      </w:pPr>
      <w:r>
        <w:t xml:space="preserve">Chilton, E.A., C.E. Armisted and R.J. Foy. 2009. Report to industry on the 2009 Eastern Bering Sea crab survey. AFSC Processed Report 2009-XX.</w:t>
      </w:r>
    </w:p>
    <w:p>
      <w:pPr>
        <w:pStyle w:val="BodyText"/>
      </w:pPr>
      <w:r>
        <w:t xml:space="preserve">Clark, W.G. 1991. Groundfish exploitation rates based on life history parameters. Can. J. fish. Aquat. Sci. 48: 734-750.</w:t>
      </w:r>
    </w:p>
    <w:p>
      <w:pPr>
        <w:pStyle w:val="BodyText"/>
      </w:pPr>
      <w:r>
        <w:t xml:space="preserve">Conan, G.Y. and Comeau, M. 1986. Functional maturity and terminal molt of male snow crab. Can J. Fish Aqaut Sci. 43(9):</w:t>
      </w:r>
    </w:p>
    <w:p>
      <w:pPr>
        <w:pStyle w:val="BodyText"/>
      </w:pPr>
      <w:r>
        <w:t xml:space="preserve">Dawe, E.G., D.M. Taylor, J.M. Hoenig, W.G. Warren, and G.P. Ennis. 1991. A critical look at the idea of terminal molt in male snow crab (Chionoecetes opilio). Can. J. Fish. Aquat. Sci. 48: 2266-2275.</w:t>
      </w:r>
    </w:p>
    <w:p>
      <w:pPr>
        <w:pStyle w:val="BodyText"/>
      </w:pPr>
      <w:r>
        <w:t xml:space="preserve">Ennis, G.P., Hooper, R.G. Taylor, D.M. 1988. functional maturity in smalle male snow crab. Can J Fish Aquat Sci. 45(12):</w:t>
      </w:r>
    </w:p>
    <w:p>
      <w:pPr>
        <w:pStyle w:val="BodyText"/>
      </w:pPr>
      <w:r>
        <w:t xml:space="preserve">Ernst, B, J.M.(Lobo) Orensanz and D.A. Armstrong. 2005. Spatial dynamics of female snow crab (Chionoecetes opilio) in the eastern Bering Sea. Can. J. Fish. Aquat. Sci. 62: 250-268.</w:t>
      </w:r>
    </w:p>
    <w:p>
      <w:pPr>
        <w:pStyle w:val="BodyText"/>
      </w:pPr>
      <w:r>
        <w:t xml:space="preserve">Fonseca, D. B., B. Sainte-Marie, and F. Hazel. 2008. Longevity and change in shell condition of adult male snow crab Chionoecetes opilio inferred from dactyl wear and mark-recapture data. Transactions of the American Fisheries Society 137:1029-1043.</w:t>
      </w:r>
    </w:p>
    <w:p>
      <w:pPr>
        <w:pStyle w:val="BodyText"/>
      </w:pPr>
      <w:r>
        <w:t xml:space="preserve">Fournier, D.A. and C.P. Archibald. 1982. A general theory for analyzing catch-at-age data. Can.J.Fish.Aquat.Sci. 39:1195-1207.</w:t>
      </w:r>
    </w:p>
    <w:p>
      <w:pPr>
        <w:pStyle w:val="BodyText"/>
      </w:pPr>
      <w:r>
        <w:t xml:space="preserve">Greiwank, A. and G.F. Corliss(eds). 1991. Automatic differentiation of algorithms: theory, implementation and application. Proceedings of the SIAM Workshop on the Automatic Differentiation of Algorithms, held Jan. 6-8, Breckenridge, CO. Soc. Indust. And Applied Mathematics, Philadelphia.</w:t>
      </w:r>
    </w:p>
    <w:p>
      <w:pPr>
        <w:pStyle w:val="BodyText"/>
      </w:pPr>
      <w:r>
        <w:t xml:space="preserve">Hamel, O. 2015. A method for calculating a meta-analytical prior for the natural mortality rate using multiple life history correlates. ICES Journal of Marine Science. 72: 62-69.</w:t>
      </w:r>
    </w:p>
    <w:p>
      <w:pPr>
        <w:pStyle w:val="BodyText"/>
      </w:pPr>
      <w:r>
        <w:t xml:space="preserve">Hoenig, J. 1983. Empirical use of longevity data to estimate mortality rates. Fish. Bull. 82: 898-903.</w:t>
      </w:r>
    </w:p>
    <w:p>
      <w:pPr>
        <w:pStyle w:val="BodyText"/>
      </w:pPr>
      <w:r>
        <w:t xml:space="preserve">Lang, C. A., J. I. Richar, and R. J. Foy. 2019. The 2018 eastern Bering Sea continental shelf and northern Bering Sea trawl surveys: Results for commercial crab species. U.S. Dep. Commer., NOAA Tech. Memo. NMFS-AFSC-386, 220 p.</w:t>
      </w:r>
    </w:p>
    <w:p>
      <w:pPr>
        <w:pStyle w:val="BodyText"/>
      </w:pPr>
      <w:r>
        <w:t xml:space="preserve">McAllister, M.K. and Ianelli, J.N. 1997. Bayesian stock assessment using catch-at-age data and the sampling importance resampling algorithm. Can. J. Fish. Aquat. Sci. 54(2): 284-300.</w:t>
      </w:r>
    </w:p>
    <w:p>
      <w:pPr>
        <w:pStyle w:val="BodyText"/>
      </w:pPr>
      <w:r>
        <w:t xml:space="preserve">Mcbride (1982). Tanner crab tag development and tagging experiments 1978-1982. In Proceedings of the International Symposium of the Genus Chionoecetes. Lowell Wakefield Fish. Symp. Ser., Alaska Sea Grant Rep. 82-10. University of Alaska, Fairbanks, Alaska. Pp. 383-403.</w:t>
      </w:r>
    </w:p>
    <w:p>
      <w:pPr>
        <w:pStyle w:val="BodyText"/>
      </w:pPr>
      <w:r>
        <w:t xml:space="preserve">Methot, R. D. 1990. Synthesis model: An adaptable framework for analysis of diverse stock assessment data. Int. N. Pac. Fish. Comm. Bull. 50:259-277.</w:t>
      </w:r>
    </w:p>
    <w:p>
      <w:pPr>
        <w:pStyle w:val="BodyText"/>
      </w:pPr>
      <w:r>
        <w:t xml:space="preserve">Murphy, J.T. Rugolo, L.J., Turnock, B.J. 2018. Estimation of annual, time-varying natural mortality and survival for Eastern Bering Sea snow crab (Chionoecetes opilio) with state-space population models. Fish Res 205: 122-131.</w:t>
      </w:r>
    </w:p>
    <w:p>
      <w:pPr>
        <w:pStyle w:val="BodyText"/>
      </w:pPr>
      <w:r>
        <w:t xml:space="preserve">Murphy, J.T. Rugolo, L.J., Turnock, B.J. 2017. Integrating demographic and environmental variables to calculate an egg production index for the Eastern Bering Sea snow crab (Chionoecetes opilio). Fisheries Research. 193: 143-157.</w:t>
      </w:r>
    </w:p>
    <w:p>
      <w:pPr>
        <w:pStyle w:val="BodyText"/>
      </w:pPr>
      <w:r>
        <w:t xml:space="preserve">Murphy, J. T., A. B. Hollowed, J. J. Anderson. 2010. Snow crab spatial distributions: examination of density-dependent and independent processes. Pp. 49-79. In G. Kruse, G. Eckert, R. Foy, G. Kruse, R. Lipcius, B. St. Marie, D. Stram, D. Woodby (Eds.), Biology and management of Exploited Crab Populations Under Climate Change. Alaska Sea Grant Program Report AK-SG-10-01, University of Alaska Fairbanks, AK.</w:t>
      </w:r>
      <w:r>
        <w:t xml:space="preserve"> </w:t>
      </w:r>
      <w:hyperlink r:id="rId45">
        <w:r>
          <w:rPr>
            <w:rStyle w:val="Hyperlink"/>
          </w:rPr>
          <w:t xml:space="preserve">Doi:10.4027/bmecppc.2010.19</w:t>
        </w:r>
      </w:hyperlink>
    </w:p>
    <w:p>
      <w:pPr>
        <w:pStyle w:val="BodyText"/>
      </w:pPr>
      <w:r>
        <w:t xml:space="preserve">Myers, R.A. 1998. When do environment-recruitment correlations work? Reviews in Fish Biology and Fisheries. 8(3): 285-305.</w:t>
      </w:r>
    </w:p>
    <w:p>
      <w:pPr>
        <w:pStyle w:val="BodyText"/>
      </w:pPr>
      <w:r>
        <w:t xml:space="preserve">Nevissi, A.E., J.M. Orensanz, A.J.Paul, and D.A. Armstrong. 1995. Radiometric Estimation of shell age in Tanner Crab, Chionoecetes opilio and C. bairdi, from the eastern Bering Sea, and its use to interpret indices of shell age/condition. Presented at the International symposium on biology, management and economics of crab from high latitude habitats October 11-13, 1995, Anchorage, Alaska.</w:t>
      </w:r>
    </w:p>
    <w:p>
      <w:pPr>
        <w:pStyle w:val="BodyText"/>
      </w:pPr>
      <w:r>
        <w:t xml:space="preserve">NPFMC (North Pacific Fishery Management Council). 2007. Environmental Assessment for Amendment 24. Overfishing definitions for Bering Sea and Aleutian Islands King and Tanner crab stocks. North Pacific Fishery Management Council,Anchorage, AK, USA..</w:t>
      </w:r>
    </w:p>
    <w:p>
      <w:pPr>
        <w:pStyle w:val="BodyText"/>
      </w:pPr>
      <w:r>
        <w:t xml:space="preserve">NPFMC (North Pacific Fishery Management Council). 2000. Bering Sea snow crab rebuilding plan. Amendment 14. Bering Sea Crab Plan Team, North Pacific Fishery Management Council,Anchorage, AK, USA..</w:t>
      </w:r>
    </w:p>
    <w:p>
      <w:pPr>
        <w:pStyle w:val="BodyText"/>
      </w:pPr>
      <w:r>
        <w:t xml:space="preserve">NPFMC 1998. Bering Sea and Aleutian Islands Crab FMP. Bering Sea Crab Plan Team, North Pacific Fishery Management Council, P. O. Box 103136, Anchorage, Ak 99510.</w:t>
      </w:r>
    </w:p>
    <w:p>
      <w:pPr>
        <w:pStyle w:val="BodyText"/>
      </w:pPr>
      <w:r>
        <w:t xml:space="preserve">Orensanz, J.M., J. Armstrong, D. Armstrong and R. Hilborn. 1998. Crustacean resources are vulnerable to serial depletion - the multifaceted decline of crab and shrimp fisheries in the Greater Gulf of Alaska. Reviews in Fish Biology and Fisheries 8:117-176.</w:t>
      </w:r>
    </w:p>
    <w:p>
      <w:pPr>
        <w:pStyle w:val="BodyText"/>
      </w:pPr>
      <w:r>
        <w:t xml:space="preserve">Otto, R.S. 1998. Assessment of the eastern Bering Sea snow crab, Chionoecetes opilio, stock under the terminal molting hypothesis. In Proceedings of the North Pacific Symposium on Invertebrate Stock Assessment and Management. Edited by G.S. Jamieson and A. Campbell. Can. Spec. Publ. Fish. Aquat. Sci. 125. pp. 109-124.</w:t>
      </w:r>
    </w:p>
    <w:p>
      <w:pPr>
        <w:pStyle w:val="BodyText"/>
      </w:pPr>
      <w:r>
        <w:t xml:space="preserve">Parada, C., Armstrong, D.A., Ernst, B., Hinckley, S., and Orensanz, J.M. 2010. Spatial dynamics of snow crab (Chionoecetes opilio) in the eastern Bering Sea–Putting together the pieces of the puzzle. Bulletin of Marine Science. 86(2): 413-437.</w:t>
      </w:r>
    </w:p>
    <w:p>
      <w:pPr>
        <w:pStyle w:val="BodyText"/>
      </w:pPr>
      <w:r>
        <w:t xml:space="preserve">Paul, A.J., J.M. Paul and W.E. Donaldson. 1995. Shell condition and breeding success in Tanner crab. Journal of Crustacean Biology 15: 476-480.</w:t>
      </w:r>
    </w:p>
    <w:p>
      <w:pPr>
        <w:pStyle w:val="BodyText"/>
      </w:pPr>
      <w:r>
        <w:t xml:space="preserve">Restrepo, V.R, G.G. Thompson, P.M. Mace, W.L. Gabriel, L.L. Low, A.D. MacCall, R.D. Methot, J E. Powers, B.L. Taylor, P.R. Wade, and J.F. Witzig. 1998. Technical guidance on the use of precautionary approaches to implementing National Standard 1 of the Magnuson-Stevens Fishery Conservation and Management Act. NOAA Technical Memorandum NMFS-F/SPO-31.</w:t>
      </w:r>
    </w:p>
    <w:p>
      <w:pPr>
        <w:pStyle w:val="BodyText"/>
      </w:pPr>
      <w:r>
        <w:t xml:space="preserve">Rugolo, L.J., D. Pengilly, R. MacIntosh and K. Gravel. 2005. Reproductive dynamics and life-history of snow crab (Chionoecetes opilio) in the eastern Bering Sea. Final Completion Report to the NOAA, Award NA17FW1274, Bering Sea Snow Crab Fishery Restoration Research.</w:t>
      </w:r>
    </w:p>
    <w:p>
      <w:pPr>
        <w:pStyle w:val="BodyText"/>
      </w:pPr>
      <w:r>
        <w:t xml:space="preserve">Rodionov, S. 2004. A sequential algorithm for testing climate regime shifts. Geophysical Research Letters 21: L09204.</w:t>
      </w:r>
    </w:p>
    <w:p>
      <w:pPr>
        <w:pStyle w:val="BodyText"/>
      </w:pPr>
      <w:r>
        <w:t xml:space="preserve">Sainte-Marie, B., Raymond, S., and Brethes, J. 1995. Growth and maturation of the male snow crab, Chionoecetes opilio (Brachyura: Majidae). Can.J.Fish.Aquat.Sci. 52:903-924.</w:t>
      </w:r>
    </w:p>
    <w:p>
      <w:pPr>
        <w:pStyle w:val="BodyText"/>
      </w:pPr>
      <w:r>
        <w:t xml:space="preserve">Sainte-Marie, B., J. Sevigny and M. Carpentier. 2002. Interannual variability of sperm reserves and fecundity of primiparous females of the snow crab (Chionoecetes opilio) in relation to sex ratio. Can.J.Fish.Aquat.Sci. 59:1932-1940.</w:t>
      </w:r>
    </w:p>
    <w:p>
      <w:pPr>
        <w:pStyle w:val="BodyText"/>
      </w:pPr>
      <w:r>
        <w:t xml:space="preserve">Somerton, D.A. and Otto, R.S. 1999. Net efficiency of a survey trawl for snow crab and Tanner crab. Fish Bull 97: 617-625.</w:t>
      </w:r>
    </w:p>
    <w:p>
      <w:pPr>
        <w:pStyle w:val="BodyText"/>
      </w:pPr>
      <w:r>
        <w:t xml:space="preserve">Somerton, D.A. Weinberg, K.L., Goodman, S.E. 2013. Catchability of snow crab by the eastern Bering Sea bottom trawl survey estimated using a catch comparison experiment. Can.J.Fish.Aquat.Sci. 70: 1699-1708.</w:t>
      </w:r>
    </w:p>
    <w:p>
      <w:pPr>
        <w:pStyle w:val="BodyText"/>
      </w:pPr>
      <w:r>
        <w:t xml:space="preserve">Szuwalski, C.S. 2022a. Stock assessment of Eastern Bering Sea snow crab. Stock Assessment and Fishery Evaluation Report for the King and Tanner Crab Fisheries of the Bering Sea and Aleutian Islands Regions. 2021 Crab SAFE. North Pacific Fishery Management Council,1007 West 3rd Ave., Suite 400, L92 Building, 4th floor. Anchorage, AK 99501</w:t>
      </w:r>
    </w:p>
    <w:p>
      <w:pPr>
        <w:pStyle w:val="BodyText"/>
      </w:pPr>
      <w:r>
        <w:t xml:space="preserve">Szuwalski, C.S. 2021a. Stock assessment of Eastern Bering Sea snow crab. Stock Assessment and Fishery Evaluation Report for the King and Tanner Crab Fisheries of the Bering Sea and Aleutian Islands Regions. 2021 Crab SAFE. North Pacific Fishery Management Council,1007 West 3rd Ave., Suite 400, L92 Building, 4th floor. Anchorage, AK 99501</w:t>
      </w:r>
    </w:p>
    <w:p>
      <w:pPr>
        <w:pStyle w:val="BodyText"/>
      </w:pPr>
      <w:r>
        <w:t xml:space="preserve">Szuwalski, C.S. 2021b. An exploration of assessment options for eastern Bering Sea snow crab that consider additional time-variation in population processes. North Pacific Fishery Management Council,1007 West 3rd Ave., Suite 400, L92 Building, 4th floor. Anchorage, AK 99501</w:t>
      </w:r>
    </w:p>
    <w:p>
      <w:pPr>
        <w:pStyle w:val="BodyText"/>
      </w:pPr>
      <w:r>
        <w:t xml:space="preserve">Szuwalski, C.S. 2020a. Stock assessment of Eastern Bering Sea snow crab. Stock Assessment and Fishery Evaluation Report for the King and Tanner Crab Fisheries of the Bering Sea and Aleutian Islands Regions. 2021 Crab SAFE. North Pacific Fishery Management Council,1007 West 3rd Ave., Suite 400, L92 Building, 4th floor. Anchorage, AK 99501</w:t>
      </w:r>
    </w:p>
    <w:p>
      <w:pPr>
        <w:pStyle w:val="BodyText"/>
      </w:pPr>
      <w:r>
        <w:t xml:space="preserve">Szuwalski, C.S., Cheng, W., Foy. R., Hermann. A.J., Hollowed, A.B., Holsman, K., Lee, J., Stockhausen, W., Zheng, J. 2020b. Climate change and the future productivity and distribution of crab in the eastern Bering Sea. ICES J. Mar. Sci. 78(2): 502-515.</w:t>
      </w:r>
    </w:p>
    <w:p>
      <w:pPr>
        <w:pStyle w:val="BodyText"/>
      </w:pPr>
      <w:r>
        <w:t xml:space="preserve">Szuwalski, C.S. 2019a. Stock assessment of Eastern Bering Sea snow crab. Stock Assessment and Fishery Evaluation Report for the King and Tanner Crab Fisheries of the Bering Sea and Aleutian Islands Regions. 2021 Crab SAFE. North Pacific Fishery Management Council,1007 West 3rd Ave., Suite 400, L92 Building, 4th floor. Anchorage, AK 99501</w:t>
      </w:r>
    </w:p>
    <w:p>
      <w:pPr>
        <w:pStyle w:val="BodyText"/>
      </w:pPr>
      <w:r>
        <w:t xml:space="preserve">Szuwalski, C.S. 2019b. A summary of model runs requested by the CPT. North Pacific Fishery Management Council,1007 West 3rd Ave., Suite 400, L92 Building, 4th floor. Anchorage, AK 99501</w:t>
      </w:r>
    </w:p>
    <w:p>
      <w:pPr>
        <w:pStyle w:val="BodyText"/>
      </w:pPr>
      <w:r>
        <w:t xml:space="preserve">Szuwalski, C.S. 2018a. Stock assessment of Eastern Bering Sea snow crab. Stock Assessment and Fishery Evaluation Report for the King and Tanner Crab Fisheries of the Bering Sea and Aleutian Islands Regions. 2021 Crab SAFE. North Pacific Fishery Management Council,1007 West 3rd Ave., Suite 400, L92 Building, 4th floor. Anchorage, AK 99501</w:t>
      </w:r>
    </w:p>
    <w:p>
      <w:pPr>
        <w:pStyle w:val="BodyText"/>
      </w:pPr>
      <w:r>
        <w:t xml:space="preserve">Szuwalski, C.S. 2018b. A summary of model runs requested by the CPT. North Pacific Fishery Management Council,1007 West 3rd Ave., Suite 400, L92 Building, 4th floor. Anchorage, AK 99501</w:t>
      </w:r>
    </w:p>
    <w:p>
      <w:pPr>
        <w:pStyle w:val="BodyText"/>
      </w:pPr>
      <w:r>
        <w:t xml:space="preserve">Szuwalski, C.S. 2017a. Stock assessment of Eastern Bering Sea snow crab. Stock Assessment and Fishery Evaluation Report for the King and Tanner Crab Fisheries of the Bering Sea and Aleutian Islands Regions. 2021 Crab SAFE. North Pacific Fishery Management Council,1007 West 3rd Ave., Suite 400, L92 Building, 4th floor. Anchorage, AK 99501</w:t>
      </w:r>
    </w:p>
    <w:p>
      <w:pPr>
        <w:pStyle w:val="BodyText"/>
      </w:pPr>
      <w:r>
        <w:t xml:space="preserve">Szuwalski, C.S. and Punt, A.E. 2013. Regime shifts and recruitment dynamics of snow crab, Chionoecetes opilio, in the eastern Bering Sea. Fisheries Oceanography, 22: 345-354.</w:t>
      </w:r>
    </w:p>
    <w:p>
      <w:pPr>
        <w:pStyle w:val="BodyText"/>
      </w:pPr>
      <w:r>
        <w:t xml:space="preserve">Szuwalski, C.S. and Punt, A.E. 2012. Fisheries management for regime-based ecosystems: a management strategy evaluation for the snow crab fishery in the eastern Bering Sea. ICES Journal of Marine Science. 70: 955-967.</w:t>
      </w:r>
    </w:p>
    <w:p>
      <w:pPr>
        <w:pStyle w:val="BodyText"/>
      </w:pPr>
      <w:r>
        <w:t xml:space="preserve">Szuwalski, C.S. and Punt, A.E. 2025. Spawning-biomass-per-recruit proxies for fisheries reference points under multiple axes of uncertainty. Fisheries Research. 289: 107494.</w:t>
      </w:r>
    </w:p>
    <w:p>
      <w:pPr>
        <w:pStyle w:val="BodyText"/>
      </w:pPr>
      <w:r>
        <w:t xml:space="preserve">Tamone, S.L., M. Adams and J.M. Dutton. 2005. Effect of eyestalk ablation on circulating ecdysteroids in hemolymph of snow crab Chionoecetes opilio: physiological evidence for a terminal molt. Integr. Comp. Biol., 45(120), p.166-171.</w:t>
      </w:r>
    </w:p>
    <w:p>
      <w:pPr>
        <w:pStyle w:val="BodyText"/>
      </w:pPr>
      <w:r>
        <w:t xml:space="preserve">Then, A. Y., Hoenig, J. M., Hall, N. G., and Hewitt, D. A. 2015. Evaluating the predictive performance of empirical estimators of natural mortality rate using information on over 200 fish species. ICES Journal of Marine Science, 72: 82–92.</w:t>
      </w:r>
    </w:p>
    <w:p>
      <w:pPr>
        <w:pStyle w:val="BodyText"/>
      </w:pPr>
      <w:r>
        <w:t xml:space="preserve">Turnock, B.J. 2016. Snow crab assessment model scenarios and convergence testing. Alaska Fishery Science Center.</w:t>
      </w:r>
    </w:p>
    <w:p>
      <w:pPr>
        <w:pStyle w:val="BodyText"/>
      </w:pPr>
      <w:r>
        <w:t xml:space="preserve">watson, J. 1972. Mating behavior in the spider crab, Chionoecetes opilio. J Fish REs Boar Can 29: 447-449.</w:t>
      </w:r>
    </w:p>
    <w:p>
      <w:pPr>
        <w:pStyle w:val="BodyText"/>
      </w:pPr>
      <w:r>
        <w:t xml:space="preserve">Zheng, J., S. Siddeek, D. Pengilly, and D. Woodby. 2002. Overview of recommended harvest strategy for snow crab in the Eastern Bering Sea. Regional Information Report No. 5J02-03. Alaska Department of Fish and Game. Juneau, Alaska.</w:t>
      </w:r>
    </w:p>
    <w:p>
      <w:pPr>
        <w:pStyle w:val="BodyText"/>
      </w:pPr>
      <w:r>
        <w:t xml:space="preserve">Zheng, J., G.H. Kruse, and D.R. Ackley. 2001. Spatial distribution and recruitment patterns of snow crab in the eastern Bering Sea. Spatial Processes and management of marine populations. Alaska sea grant college program. AK-SG-01-02, 2001.</w:t>
      </w:r>
    </w:p>
    <w:p>
      <w:pPr>
        <w:pStyle w:val="TableCaption"/>
      </w:pPr>
      <w:r>
        <w:t xml:space="preserve">Likelihood components by category and model.</w:t>
      </w:r>
    </w:p>
    <w:tbl>
      <w:tblPr>
        <w:tblStyle w:val="Table"/>
        <w:tblW w:type="pct" w:w="5000"/>
        <w:tblLayout w:type="fixed"/>
        <w:tblLook w:firstRow="1" w:lastRow="0" w:firstColumn="0" w:lastColumn="0" w:noHBand="0" w:noVBand="0" w:val="0020"/>
        <w:tblCaption w:val="Likelihood components by category and model."/>
      </w:tblPr>
      <w:tblGrid>
        <w:gridCol w:w="374"/>
        <w:gridCol w:w="171"/>
        <w:gridCol w:w="312"/>
        <w:gridCol w:w="640"/>
        <w:gridCol w:w="687"/>
        <w:gridCol w:w="468"/>
        <w:gridCol w:w="515"/>
        <w:gridCol w:w="671"/>
        <w:gridCol w:w="843"/>
        <w:gridCol w:w="484"/>
        <w:gridCol w:w="531"/>
        <w:gridCol w:w="484"/>
        <w:gridCol w:w="468"/>
        <w:gridCol w:w="624"/>
        <w:gridCol w:w="640"/>
      </w:tblGrid>
      <w:tr>
        <w:trPr>
          <w:tblHeader w:val="on"/>
        </w:trPr>
        <w:tc>
          <w:tcPr/>
          <w:p>
            <w:pPr>
              <w:pStyle w:val="Compact"/>
            </w:pPr>
          </w:p>
        </w:tc>
        <w:tc>
          <w:tcPr/>
          <w:p>
            <w:pPr>
              <w:pStyle w:val="Compact"/>
              <w:jc w:val="right"/>
            </w:pPr>
            <w:r>
              <w:t xml:space="preserve">25.1 gmacs</w:t>
            </w:r>
          </w:p>
        </w:tc>
        <w:tc>
          <w:tcPr/>
          <w:p>
            <w:pPr>
              <w:pStyle w:val="Compact"/>
              <w:jc w:val="right"/>
            </w:pPr>
            <w:r>
              <w:t xml:space="preserve">25.1 gmacs (update)</w:t>
            </w:r>
          </w:p>
        </w:tc>
        <w:tc>
          <w:tcPr/>
          <w:p>
            <w:pPr>
              <w:pStyle w:val="Compact"/>
              <w:jc w:val="right"/>
            </w:pPr>
            <w:r>
              <w:t xml:space="preserve">25.1 gmacs (update + imm_surv + compfix)</w:t>
            </w:r>
          </w:p>
        </w:tc>
        <w:tc>
          <w:tcPr/>
          <w:p>
            <w:pPr>
              <w:pStyle w:val="Compact"/>
              <w:jc w:val="right"/>
            </w:pPr>
            <w:r>
              <w:t xml:space="preserve">25.1 gmacs (update + imm_surv + plus group)</w:t>
            </w:r>
          </w:p>
        </w:tc>
        <w:tc>
          <w:tcPr/>
          <w:p>
            <w:pPr>
              <w:pStyle w:val="Compact"/>
              <w:jc w:val="right"/>
            </w:pPr>
            <w:r>
              <w:t xml:space="preserve">25.1 gmacs (update + compfix)</w:t>
            </w:r>
          </w:p>
        </w:tc>
        <w:tc>
          <w:tcPr/>
          <w:p>
            <w:pPr>
              <w:pStyle w:val="Compact"/>
              <w:jc w:val="right"/>
            </w:pPr>
            <w:r>
              <w:t xml:space="preserve">25.1 gmacs (update + plus group)</w:t>
            </w:r>
          </w:p>
        </w:tc>
        <w:tc>
          <w:tcPr/>
          <w:p>
            <w:pPr>
              <w:pStyle w:val="Compact"/>
              <w:jc w:val="right"/>
            </w:pPr>
            <w:r>
              <w:t xml:space="preserve">25.1 gmacs (update + new_mat + plus group)</w:t>
            </w:r>
          </w:p>
        </w:tc>
        <w:tc>
          <w:tcPr/>
          <w:p>
            <w:pPr>
              <w:pStyle w:val="Compact"/>
              <w:jc w:val="right"/>
            </w:pPr>
            <w:r>
              <w:t xml:space="preserve">25.1 gmacs (update + new_mat + imm_surv + plus group)</w:t>
            </w:r>
          </w:p>
        </w:tc>
        <w:tc>
          <w:tcPr/>
          <w:p>
            <w:pPr>
              <w:pStyle w:val="Compact"/>
              <w:jc w:val="right"/>
            </w:pPr>
            <w:r>
              <w:t xml:space="preserve">25.1 gmacs (update + hyb_surv)</w:t>
            </w:r>
          </w:p>
        </w:tc>
        <w:tc>
          <w:tcPr/>
          <w:p>
            <w:pPr>
              <w:pStyle w:val="Compact"/>
              <w:jc w:val="right"/>
            </w:pPr>
            <w:r>
              <w:t xml:space="preserve">25.1 gmacs (update + hyb_fishery)</w:t>
            </w:r>
          </w:p>
        </w:tc>
        <w:tc>
          <w:tcPr/>
          <w:p>
            <w:pPr>
              <w:pStyle w:val="Compact"/>
              <w:jc w:val="right"/>
            </w:pPr>
            <w:r>
              <w:t xml:space="preserve">25.1 gmacs (update + hyb_both)</w:t>
            </w:r>
          </w:p>
        </w:tc>
        <w:tc>
          <w:tcPr/>
          <w:p>
            <w:pPr>
              <w:pStyle w:val="Compact"/>
              <w:jc w:val="right"/>
            </w:pPr>
            <w:r>
              <w:t xml:space="preserve">25.1 gmacs (update + new_mat)</w:t>
            </w:r>
          </w:p>
        </w:tc>
        <w:tc>
          <w:tcPr/>
          <w:p>
            <w:pPr>
              <w:pStyle w:val="Compact"/>
              <w:jc w:val="right"/>
            </w:pPr>
            <w:r>
              <w:t xml:space="preserve">25.1 gmacs (update + new_mat + compfix)</w:t>
            </w:r>
          </w:p>
        </w:tc>
        <w:tc>
          <w:tcPr/>
          <w:p>
            <w:pPr>
              <w:pStyle w:val="Compact"/>
              <w:jc w:val="right"/>
            </w:pPr>
            <w:r>
              <w:t xml:space="preserve">25.1 gmacs (update + hyb_both + new_mat)</w:t>
            </w:r>
          </w:p>
        </w:tc>
      </w:tr>
      <w:tr>
        <w:tc>
          <w:tcPr/>
          <w:p>
            <w:pPr>
              <w:pStyle w:val="Compact"/>
              <w:jc w:val="left"/>
            </w:pPr>
            <w:r>
              <w:t xml:space="preserve">Catch</w:t>
            </w:r>
          </w:p>
        </w:tc>
        <w:tc>
          <w:tcPr/>
          <w:p>
            <w:pPr>
              <w:pStyle w:val="Compact"/>
              <w:jc w:val="right"/>
            </w:pPr>
            <w:r>
              <w:t xml:space="preserve">366.98</w:t>
            </w:r>
          </w:p>
        </w:tc>
        <w:tc>
          <w:tcPr/>
          <w:p>
            <w:pPr>
              <w:pStyle w:val="Compact"/>
              <w:jc w:val="right"/>
            </w:pPr>
            <w:r>
              <w:t xml:space="preserve">372.63</w:t>
            </w:r>
          </w:p>
        </w:tc>
        <w:tc>
          <w:tcPr/>
          <w:p>
            <w:pPr>
              <w:pStyle w:val="Compact"/>
              <w:jc w:val="right"/>
            </w:pPr>
            <w:r>
              <w:t xml:space="preserve">320.69</w:t>
            </w:r>
          </w:p>
        </w:tc>
        <w:tc>
          <w:tcPr/>
          <w:p>
            <w:pPr>
              <w:pStyle w:val="Compact"/>
              <w:jc w:val="right"/>
            </w:pPr>
            <w:r>
              <w:t xml:space="preserve">334.86</w:t>
            </w:r>
          </w:p>
        </w:tc>
        <w:tc>
          <w:tcPr/>
          <w:p>
            <w:pPr>
              <w:pStyle w:val="Compact"/>
              <w:jc w:val="right"/>
            </w:pPr>
            <w:r>
              <w:t xml:space="preserve">376.61</w:t>
            </w:r>
          </w:p>
        </w:tc>
        <w:tc>
          <w:tcPr/>
          <w:p>
            <w:pPr>
              <w:pStyle w:val="Compact"/>
              <w:jc w:val="right"/>
            </w:pPr>
            <w:r>
              <w:t xml:space="preserve">370.75</w:t>
            </w:r>
          </w:p>
        </w:tc>
        <w:tc>
          <w:tcPr/>
          <w:p>
            <w:pPr>
              <w:pStyle w:val="Compact"/>
              <w:jc w:val="right"/>
            </w:pPr>
            <w:r>
              <w:t xml:space="preserve">374.74</w:t>
            </w:r>
          </w:p>
        </w:tc>
        <w:tc>
          <w:tcPr/>
          <w:p>
            <w:pPr>
              <w:pStyle w:val="Compact"/>
              <w:jc w:val="right"/>
            </w:pPr>
            <w:r>
              <w:t xml:space="preserve">446.42</w:t>
            </w:r>
          </w:p>
        </w:tc>
        <w:tc>
          <w:tcPr/>
          <w:p>
            <w:pPr>
              <w:pStyle w:val="Compact"/>
              <w:jc w:val="right"/>
            </w:pPr>
            <w:r>
              <w:t xml:space="preserve">365.61</w:t>
            </w:r>
          </w:p>
        </w:tc>
        <w:tc>
          <w:tcPr/>
          <w:p>
            <w:pPr>
              <w:pStyle w:val="Compact"/>
              <w:jc w:val="right"/>
            </w:pPr>
            <w:r>
              <w:t xml:space="preserve">901.75</w:t>
            </w:r>
          </w:p>
        </w:tc>
        <w:tc>
          <w:tcPr/>
          <w:p>
            <w:pPr>
              <w:pStyle w:val="Compact"/>
              <w:jc w:val="right"/>
            </w:pPr>
            <w:r>
              <w:t xml:space="preserve">899.21</w:t>
            </w:r>
          </w:p>
        </w:tc>
        <w:tc>
          <w:tcPr/>
          <w:p>
            <w:pPr>
              <w:pStyle w:val="Compact"/>
              <w:jc w:val="right"/>
            </w:pPr>
            <w:r>
              <w:t xml:space="preserve">373.01</w:t>
            </w:r>
          </w:p>
        </w:tc>
        <w:tc>
          <w:tcPr/>
          <w:p>
            <w:pPr>
              <w:pStyle w:val="Compact"/>
              <w:jc w:val="right"/>
            </w:pPr>
            <w:r>
              <w:t xml:space="preserve">375.90</w:t>
            </w:r>
          </w:p>
        </w:tc>
        <w:tc>
          <w:tcPr/>
          <w:p>
            <w:pPr>
              <w:pStyle w:val="Compact"/>
              <w:jc w:val="right"/>
            </w:pPr>
            <w:r>
              <w:t xml:space="preserve">947.42</w:t>
            </w:r>
          </w:p>
        </w:tc>
      </w:tr>
      <w:tr>
        <w:tc>
          <w:tcPr/>
          <w:p>
            <w:pPr>
              <w:pStyle w:val="Compact"/>
              <w:jc w:val="left"/>
            </w:pPr>
            <w:r>
              <w:t xml:space="preserve">Index</w:t>
            </w:r>
          </w:p>
        </w:tc>
        <w:tc>
          <w:tcPr/>
          <w:p>
            <w:pPr>
              <w:pStyle w:val="Compact"/>
              <w:jc w:val="right"/>
            </w:pPr>
            <w:r>
              <w:t xml:space="preserve">148.13</w:t>
            </w:r>
          </w:p>
        </w:tc>
        <w:tc>
          <w:tcPr/>
          <w:p>
            <w:pPr>
              <w:pStyle w:val="Compact"/>
              <w:jc w:val="right"/>
            </w:pPr>
            <w:r>
              <w:t xml:space="preserve">153.18</w:t>
            </w:r>
          </w:p>
        </w:tc>
        <w:tc>
          <w:tcPr/>
          <w:p>
            <w:pPr>
              <w:pStyle w:val="Compact"/>
              <w:jc w:val="right"/>
            </w:pPr>
            <w:r>
              <w:t xml:space="preserve">186.97</w:t>
            </w:r>
          </w:p>
        </w:tc>
        <w:tc>
          <w:tcPr/>
          <w:p>
            <w:pPr>
              <w:pStyle w:val="Compact"/>
              <w:jc w:val="right"/>
            </w:pPr>
            <w:r>
              <w:t xml:space="preserve">191.94</w:t>
            </w:r>
          </w:p>
        </w:tc>
        <w:tc>
          <w:tcPr/>
          <w:p>
            <w:pPr>
              <w:pStyle w:val="Compact"/>
              <w:jc w:val="right"/>
            </w:pPr>
            <w:r>
              <w:t xml:space="preserve">153.13</w:t>
            </w:r>
          </w:p>
        </w:tc>
        <w:tc>
          <w:tcPr/>
          <w:p>
            <w:pPr>
              <w:pStyle w:val="Compact"/>
              <w:jc w:val="right"/>
            </w:pPr>
            <w:r>
              <w:t xml:space="preserve">142.42</w:t>
            </w:r>
          </w:p>
        </w:tc>
        <w:tc>
          <w:tcPr/>
          <w:p>
            <w:pPr>
              <w:pStyle w:val="Compact"/>
              <w:jc w:val="right"/>
            </w:pPr>
            <w:r>
              <w:t xml:space="preserve">135.16</w:t>
            </w:r>
          </w:p>
        </w:tc>
        <w:tc>
          <w:tcPr/>
          <w:p>
            <w:pPr>
              <w:pStyle w:val="Compact"/>
              <w:jc w:val="right"/>
            </w:pPr>
            <w:r>
              <w:t xml:space="preserve">392.17</w:t>
            </w:r>
          </w:p>
        </w:tc>
        <w:tc>
          <w:tcPr/>
          <w:p>
            <w:pPr>
              <w:pStyle w:val="Compact"/>
              <w:jc w:val="right"/>
            </w:pPr>
            <w:r>
              <w:t xml:space="preserve">150.66</w:t>
            </w:r>
          </w:p>
        </w:tc>
        <w:tc>
          <w:tcPr/>
          <w:p>
            <w:pPr>
              <w:pStyle w:val="Compact"/>
              <w:jc w:val="right"/>
            </w:pPr>
            <w:r>
              <w:t xml:space="preserve">155.98</w:t>
            </w:r>
          </w:p>
        </w:tc>
        <w:tc>
          <w:tcPr/>
          <w:p>
            <w:pPr>
              <w:pStyle w:val="Compact"/>
              <w:jc w:val="right"/>
            </w:pPr>
            <w:r>
              <w:t xml:space="preserve">156.20</w:t>
            </w:r>
          </w:p>
        </w:tc>
        <w:tc>
          <w:tcPr/>
          <w:p>
            <w:pPr>
              <w:pStyle w:val="Compact"/>
              <w:jc w:val="right"/>
            </w:pPr>
            <w:r>
              <w:t xml:space="preserve">145.56</w:t>
            </w:r>
          </w:p>
        </w:tc>
        <w:tc>
          <w:tcPr/>
          <w:p>
            <w:pPr>
              <w:pStyle w:val="Compact"/>
              <w:jc w:val="right"/>
            </w:pPr>
            <w:r>
              <w:t xml:space="preserve">147.62</w:t>
            </w:r>
          </w:p>
        </w:tc>
        <w:tc>
          <w:tcPr/>
          <w:p>
            <w:pPr>
              <w:pStyle w:val="Compact"/>
              <w:jc w:val="right"/>
            </w:pPr>
            <w:r>
              <w:t xml:space="preserve">162.84</w:t>
            </w:r>
          </w:p>
        </w:tc>
      </w:tr>
      <w:tr>
        <w:tc>
          <w:tcPr/>
          <w:p>
            <w:pPr>
              <w:pStyle w:val="Compact"/>
              <w:jc w:val="left"/>
            </w:pPr>
            <w:r>
              <w:t xml:space="preserve">Size</w:t>
            </w:r>
          </w:p>
        </w:tc>
        <w:tc>
          <w:tcPr/>
          <w:p>
            <w:pPr>
              <w:pStyle w:val="Compact"/>
              <w:jc w:val="right"/>
            </w:pPr>
            <w:r>
              <w:t xml:space="preserve">-28967.91</w:t>
            </w:r>
          </w:p>
        </w:tc>
        <w:tc>
          <w:tcPr/>
          <w:p>
            <w:pPr>
              <w:pStyle w:val="Compact"/>
              <w:jc w:val="right"/>
            </w:pPr>
            <w:r>
              <w:t xml:space="preserve">-28974.26</w:t>
            </w:r>
          </w:p>
        </w:tc>
        <w:tc>
          <w:tcPr/>
          <w:p>
            <w:pPr>
              <w:pStyle w:val="Compact"/>
              <w:jc w:val="right"/>
            </w:pPr>
            <w:r>
              <w:t xml:space="preserve">-28959.05</w:t>
            </w:r>
          </w:p>
        </w:tc>
        <w:tc>
          <w:tcPr/>
          <w:p>
            <w:pPr>
              <w:pStyle w:val="Compact"/>
              <w:jc w:val="right"/>
            </w:pPr>
            <w:r>
              <w:t xml:space="preserve">-28976.40</w:t>
            </w:r>
          </w:p>
        </w:tc>
        <w:tc>
          <w:tcPr/>
          <w:p>
            <w:pPr>
              <w:pStyle w:val="Compact"/>
              <w:jc w:val="right"/>
            </w:pPr>
            <w:r>
              <w:t xml:space="preserve">-28989.55</w:t>
            </w:r>
          </w:p>
        </w:tc>
        <w:tc>
          <w:tcPr/>
          <w:p>
            <w:pPr>
              <w:pStyle w:val="Compact"/>
              <w:jc w:val="right"/>
            </w:pPr>
            <w:r>
              <w:t xml:space="preserve">-28999.62</w:t>
            </w:r>
          </w:p>
        </w:tc>
        <w:tc>
          <w:tcPr/>
          <w:p>
            <w:pPr>
              <w:pStyle w:val="Compact"/>
              <w:jc w:val="right"/>
            </w:pPr>
            <w:r>
              <w:t xml:space="preserve">-29049.02</w:t>
            </w:r>
          </w:p>
        </w:tc>
        <w:tc>
          <w:tcPr/>
          <w:p>
            <w:pPr>
              <w:pStyle w:val="Compact"/>
              <w:jc w:val="right"/>
            </w:pPr>
            <w:r>
              <w:t xml:space="preserve">-29035.29</w:t>
            </w:r>
          </w:p>
        </w:tc>
        <w:tc>
          <w:tcPr/>
          <w:p>
            <w:pPr>
              <w:pStyle w:val="Compact"/>
              <w:jc w:val="right"/>
            </w:pPr>
            <w:r>
              <w:t xml:space="preserve">-28975.55</w:t>
            </w:r>
          </w:p>
        </w:tc>
        <w:tc>
          <w:tcPr/>
          <w:p>
            <w:pPr>
              <w:pStyle w:val="Compact"/>
              <w:jc w:val="right"/>
            </w:pPr>
            <w:r>
              <w:t xml:space="preserve">-28945.08</w:t>
            </w:r>
          </w:p>
        </w:tc>
        <w:tc>
          <w:tcPr/>
          <w:p>
            <w:pPr>
              <w:pStyle w:val="Compact"/>
              <w:jc w:val="right"/>
            </w:pPr>
            <w:r>
              <w:t xml:space="preserve">-28963.19</w:t>
            </w:r>
          </w:p>
        </w:tc>
        <w:tc>
          <w:tcPr/>
          <w:p>
            <w:pPr>
              <w:pStyle w:val="Compact"/>
              <w:jc w:val="right"/>
            </w:pPr>
            <w:r>
              <w:t xml:space="preserve">-29012.56</w:t>
            </w:r>
          </w:p>
        </w:tc>
        <w:tc>
          <w:tcPr/>
          <w:p>
            <w:pPr>
              <w:pStyle w:val="Compact"/>
              <w:jc w:val="right"/>
            </w:pPr>
            <w:r>
              <w:t xml:space="preserve">-29030.66</w:t>
            </w:r>
          </w:p>
        </w:tc>
        <w:tc>
          <w:tcPr/>
          <w:p>
            <w:pPr>
              <w:pStyle w:val="Compact"/>
              <w:jc w:val="right"/>
            </w:pPr>
            <w:r>
              <w:t xml:space="preserve">-28972.04</w:t>
            </w:r>
          </w:p>
        </w:tc>
      </w:tr>
      <w:tr>
        <w:tc>
          <w:tcPr/>
          <w:p>
            <w:pPr>
              <w:pStyle w:val="Compact"/>
              <w:jc w:val="left"/>
            </w:pPr>
            <w:r>
              <w:t xml:space="preserve">SRR</w:t>
            </w:r>
          </w:p>
        </w:tc>
        <w:tc>
          <w:tcPr/>
          <w:p>
            <w:pPr>
              <w:pStyle w:val="Compact"/>
              <w:jc w:val="right"/>
            </w:pPr>
            <w:r>
              <w:t xml:space="preserve">180.99</w:t>
            </w:r>
          </w:p>
        </w:tc>
        <w:tc>
          <w:tcPr/>
          <w:p>
            <w:pPr>
              <w:pStyle w:val="Compact"/>
              <w:jc w:val="right"/>
            </w:pPr>
            <w:r>
              <w:t xml:space="preserve">172.13</w:t>
            </w:r>
          </w:p>
        </w:tc>
        <w:tc>
          <w:tcPr/>
          <w:p>
            <w:pPr>
              <w:pStyle w:val="Compact"/>
              <w:jc w:val="right"/>
            </w:pPr>
            <w:r>
              <w:t xml:space="preserve">170.56</w:t>
            </w:r>
          </w:p>
        </w:tc>
        <w:tc>
          <w:tcPr/>
          <w:p>
            <w:pPr>
              <w:pStyle w:val="Compact"/>
              <w:jc w:val="right"/>
            </w:pPr>
            <w:r>
              <w:t xml:space="preserve">173.49</w:t>
            </w:r>
          </w:p>
        </w:tc>
        <w:tc>
          <w:tcPr/>
          <w:p>
            <w:pPr>
              <w:pStyle w:val="Compact"/>
              <w:jc w:val="right"/>
            </w:pPr>
            <w:r>
              <w:t xml:space="preserve">171.41</w:t>
            </w:r>
          </w:p>
        </w:tc>
        <w:tc>
          <w:tcPr/>
          <w:p>
            <w:pPr>
              <w:pStyle w:val="Compact"/>
              <w:jc w:val="right"/>
            </w:pPr>
            <w:r>
              <w:t xml:space="preserve">181.63</w:t>
            </w:r>
          </w:p>
        </w:tc>
        <w:tc>
          <w:tcPr/>
          <w:p>
            <w:pPr>
              <w:pStyle w:val="Compact"/>
              <w:jc w:val="right"/>
            </w:pPr>
            <w:r>
              <w:t xml:space="preserve">193.01</w:t>
            </w:r>
          </w:p>
        </w:tc>
        <w:tc>
          <w:tcPr/>
          <w:p>
            <w:pPr>
              <w:pStyle w:val="Compact"/>
              <w:jc w:val="right"/>
            </w:pPr>
            <w:r>
              <w:t xml:space="preserve">170.73</w:t>
            </w:r>
          </w:p>
        </w:tc>
        <w:tc>
          <w:tcPr/>
          <w:p>
            <w:pPr>
              <w:pStyle w:val="Compact"/>
              <w:jc w:val="right"/>
            </w:pPr>
            <w:r>
              <w:t xml:space="preserve">177.10</w:t>
            </w:r>
          </w:p>
        </w:tc>
        <w:tc>
          <w:tcPr/>
          <w:p>
            <w:pPr>
              <w:pStyle w:val="Compact"/>
              <w:jc w:val="right"/>
            </w:pPr>
            <w:r>
              <w:t xml:space="preserve">170.19</w:t>
            </w:r>
          </w:p>
        </w:tc>
        <w:tc>
          <w:tcPr/>
          <w:p>
            <w:pPr>
              <w:pStyle w:val="Compact"/>
              <w:jc w:val="right"/>
            </w:pPr>
            <w:r>
              <w:t xml:space="preserve">177.03</w:t>
            </w:r>
          </w:p>
        </w:tc>
        <w:tc>
          <w:tcPr/>
          <w:p>
            <w:pPr>
              <w:pStyle w:val="Compact"/>
              <w:jc w:val="right"/>
            </w:pPr>
            <w:r>
              <w:t xml:space="preserve">179.88</w:t>
            </w:r>
          </w:p>
        </w:tc>
        <w:tc>
          <w:tcPr/>
          <w:p>
            <w:pPr>
              <w:pStyle w:val="Compact"/>
              <w:jc w:val="right"/>
            </w:pPr>
            <w:r>
              <w:t xml:space="preserve">179.75</w:t>
            </w:r>
          </w:p>
        </w:tc>
        <w:tc>
          <w:tcPr/>
          <w:p>
            <w:pPr>
              <w:pStyle w:val="Compact"/>
              <w:jc w:val="right"/>
            </w:pPr>
            <w:r>
              <w:t xml:space="preserve">179.79</w:t>
            </w:r>
          </w:p>
        </w:tc>
      </w:tr>
      <w:tr>
        <w:tc>
          <w:tcPr/>
          <w:p>
            <w:pPr>
              <w:pStyle w:val="Compact"/>
              <w:jc w:val="left"/>
            </w:pPr>
            <w:r>
              <w:t xml:space="preserve">Tag</w:t>
            </w:r>
          </w:p>
        </w:tc>
        <w:tc>
          <w:tcPr/>
          <w:p>
            <w:pPr>
              <w:pStyle w:val="Compact"/>
              <w:jc w:val="right"/>
            </w:pPr>
            <w:r>
              <w:t xml:space="preserve">7967.32</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Penalties</w:t>
            </w:r>
          </w:p>
        </w:tc>
        <w:tc>
          <w:tcPr/>
          <w:p>
            <w:pPr>
              <w:pStyle w:val="Compact"/>
              <w:jc w:val="right"/>
            </w:pPr>
            <w:r>
              <w:t xml:space="preserve">754.82</w:t>
            </w:r>
          </w:p>
        </w:tc>
        <w:tc>
          <w:tcPr/>
          <w:p>
            <w:pPr>
              <w:pStyle w:val="Compact"/>
              <w:jc w:val="right"/>
            </w:pPr>
            <w:r>
              <w:t xml:space="preserve">756.59</w:t>
            </w:r>
          </w:p>
        </w:tc>
        <w:tc>
          <w:tcPr/>
          <w:p>
            <w:pPr>
              <w:pStyle w:val="Compact"/>
              <w:jc w:val="right"/>
            </w:pPr>
            <w:r>
              <w:t xml:space="preserve">759.27</w:t>
            </w:r>
          </w:p>
        </w:tc>
        <w:tc>
          <w:tcPr/>
          <w:p>
            <w:pPr>
              <w:pStyle w:val="Compact"/>
              <w:jc w:val="right"/>
            </w:pPr>
            <w:r>
              <w:t xml:space="preserve">760.44</w:t>
            </w:r>
          </w:p>
        </w:tc>
        <w:tc>
          <w:tcPr/>
          <w:p>
            <w:pPr>
              <w:pStyle w:val="Compact"/>
              <w:jc w:val="right"/>
            </w:pPr>
            <w:r>
              <w:t xml:space="preserve">756.98</w:t>
            </w:r>
          </w:p>
        </w:tc>
        <w:tc>
          <w:tcPr/>
          <w:p>
            <w:pPr>
              <w:pStyle w:val="Compact"/>
              <w:jc w:val="right"/>
            </w:pPr>
            <w:r>
              <w:t xml:space="preserve">760.48</w:t>
            </w:r>
          </w:p>
        </w:tc>
        <w:tc>
          <w:tcPr/>
          <w:p>
            <w:pPr>
              <w:pStyle w:val="Compact"/>
              <w:jc w:val="right"/>
            </w:pPr>
            <w:r>
              <w:t xml:space="preserve">758.97</w:t>
            </w:r>
          </w:p>
        </w:tc>
        <w:tc>
          <w:tcPr/>
          <w:p>
            <w:pPr>
              <w:pStyle w:val="Compact"/>
              <w:jc w:val="right"/>
            </w:pPr>
            <w:r>
              <w:t xml:space="preserve">757.72</w:t>
            </w:r>
          </w:p>
        </w:tc>
        <w:tc>
          <w:tcPr/>
          <w:p>
            <w:pPr>
              <w:pStyle w:val="Compact"/>
              <w:jc w:val="right"/>
            </w:pPr>
            <w:r>
              <w:t xml:space="preserve">750.47</w:t>
            </w:r>
          </w:p>
        </w:tc>
        <w:tc>
          <w:tcPr/>
          <w:p>
            <w:pPr>
              <w:pStyle w:val="Compact"/>
              <w:jc w:val="right"/>
            </w:pPr>
            <w:r>
              <w:t xml:space="preserve">752.64</w:t>
            </w:r>
          </w:p>
        </w:tc>
        <w:tc>
          <w:tcPr/>
          <w:p>
            <w:pPr>
              <w:pStyle w:val="Compact"/>
              <w:jc w:val="right"/>
            </w:pPr>
            <w:r>
              <w:t xml:space="preserve">749.47</w:t>
            </w:r>
          </w:p>
        </w:tc>
        <w:tc>
          <w:tcPr/>
          <w:p>
            <w:pPr>
              <w:pStyle w:val="Compact"/>
              <w:jc w:val="right"/>
            </w:pPr>
            <w:r>
              <w:t xml:space="preserve">755.01</w:t>
            </w:r>
          </w:p>
        </w:tc>
        <w:tc>
          <w:tcPr/>
          <w:p>
            <w:pPr>
              <w:pStyle w:val="Compact"/>
              <w:jc w:val="right"/>
            </w:pPr>
            <w:r>
              <w:t xml:space="preserve">755.04</w:t>
            </w:r>
          </w:p>
        </w:tc>
        <w:tc>
          <w:tcPr/>
          <w:p>
            <w:pPr>
              <w:pStyle w:val="Compact"/>
              <w:jc w:val="right"/>
            </w:pPr>
            <w:r>
              <w:t xml:space="preserve">749.51</w:t>
            </w:r>
          </w:p>
        </w:tc>
      </w:tr>
      <w:tr>
        <w:tc>
          <w:tcPr/>
          <w:p>
            <w:pPr>
              <w:pStyle w:val="Compact"/>
              <w:jc w:val="left"/>
            </w:pPr>
            <w:r>
              <w:t xml:space="preserve">Priors</w:t>
            </w:r>
          </w:p>
        </w:tc>
        <w:tc>
          <w:tcPr/>
          <w:p>
            <w:pPr>
              <w:pStyle w:val="Compact"/>
              <w:jc w:val="right"/>
            </w:pPr>
            <w:r>
              <w:t xml:space="preserve">378.94</w:t>
            </w:r>
          </w:p>
        </w:tc>
        <w:tc>
          <w:tcPr/>
          <w:p>
            <w:pPr>
              <w:pStyle w:val="Compact"/>
              <w:jc w:val="right"/>
            </w:pPr>
            <w:r>
              <w:t xml:space="preserve">386.20</w:t>
            </w:r>
          </w:p>
        </w:tc>
        <w:tc>
          <w:tcPr/>
          <w:p>
            <w:pPr>
              <w:pStyle w:val="Compact"/>
              <w:jc w:val="right"/>
            </w:pPr>
            <w:r>
              <w:t xml:space="preserve">433.03</w:t>
            </w:r>
          </w:p>
        </w:tc>
        <w:tc>
          <w:tcPr/>
          <w:p>
            <w:pPr>
              <w:pStyle w:val="Compact"/>
              <w:jc w:val="right"/>
            </w:pPr>
            <w:r>
              <w:t xml:space="preserve">431.24</w:t>
            </w:r>
          </w:p>
        </w:tc>
        <w:tc>
          <w:tcPr/>
          <w:p>
            <w:pPr>
              <w:pStyle w:val="Compact"/>
              <w:jc w:val="right"/>
            </w:pPr>
            <w:r>
              <w:t xml:space="preserve">392.27</w:t>
            </w:r>
          </w:p>
        </w:tc>
        <w:tc>
          <w:tcPr/>
          <w:p>
            <w:pPr>
              <w:pStyle w:val="Compact"/>
              <w:jc w:val="right"/>
            </w:pPr>
            <w:r>
              <w:t xml:space="preserve">385.05</w:t>
            </w:r>
          </w:p>
        </w:tc>
        <w:tc>
          <w:tcPr/>
          <w:p>
            <w:pPr>
              <w:pStyle w:val="Compact"/>
              <w:jc w:val="right"/>
            </w:pPr>
            <w:r>
              <w:t xml:space="preserve">391.36</w:t>
            </w:r>
          </w:p>
        </w:tc>
        <w:tc>
          <w:tcPr/>
          <w:p>
            <w:pPr>
              <w:pStyle w:val="Compact"/>
              <w:jc w:val="right"/>
            </w:pPr>
            <w:r>
              <w:t xml:space="preserve">434.01</w:t>
            </w:r>
          </w:p>
        </w:tc>
        <w:tc>
          <w:tcPr/>
          <w:p>
            <w:pPr>
              <w:pStyle w:val="Compact"/>
              <w:jc w:val="right"/>
            </w:pPr>
            <w:r>
              <w:t xml:space="preserve">363.64</w:t>
            </w:r>
          </w:p>
        </w:tc>
        <w:tc>
          <w:tcPr/>
          <w:p>
            <w:pPr>
              <w:pStyle w:val="Compact"/>
              <w:jc w:val="right"/>
            </w:pPr>
            <w:r>
              <w:t xml:space="preserve">384.95</w:t>
            </w:r>
          </w:p>
        </w:tc>
        <w:tc>
          <w:tcPr/>
          <w:p>
            <w:pPr>
              <w:pStyle w:val="Compact"/>
              <w:jc w:val="right"/>
            </w:pPr>
            <w:r>
              <w:t xml:space="preserve">365.41</w:t>
            </w:r>
          </w:p>
        </w:tc>
        <w:tc>
          <w:tcPr/>
          <w:p>
            <w:pPr>
              <w:pStyle w:val="Compact"/>
              <w:jc w:val="right"/>
            </w:pPr>
            <w:r>
              <w:t xml:space="preserve">391.09</w:t>
            </w:r>
          </w:p>
        </w:tc>
        <w:tc>
          <w:tcPr/>
          <w:p>
            <w:pPr>
              <w:pStyle w:val="Compact"/>
              <w:jc w:val="right"/>
            </w:pPr>
            <w:r>
              <w:t xml:space="preserve">392.36</w:t>
            </w:r>
          </w:p>
        </w:tc>
        <w:tc>
          <w:tcPr/>
          <w:p>
            <w:pPr>
              <w:pStyle w:val="Compact"/>
              <w:jc w:val="right"/>
            </w:pPr>
            <w:r>
              <w:t xml:space="preserve">388.85</w:t>
            </w:r>
          </w:p>
        </w:tc>
      </w:tr>
      <w:tr>
        <w:tc>
          <w:tcPr/>
          <w:p>
            <w:pPr>
              <w:pStyle w:val="Compact"/>
              <w:jc w:val="left"/>
            </w:pPr>
            <w:r>
              <w:t xml:space="preserve">Initial_size_structure</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Growth_data</w:t>
            </w:r>
          </w:p>
        </w:tc>
        <w:tc>
          <w:tcPr/>
          <w:p>
            <w:pPr>
              <w:pStyle w:val="Compact"/>
              <w:jc w:val="right"/>
            </w:pPr>
            <w:r>
              <w:t xml:space="preserve">0.00</w:t>
            </w:r>
          </w:p>
        </w:tc>
        <w:tc>
          <w:tcPr/>
          <w:p>
            <w:pPr>
              <w:pStyle w:val="Compact"/>
              <w:jc w:val="right"/>
            </w:pPr>
            <w:r>
              <w:t xml:space="preserve">7965.70</w:t>
            </w:r>
          </w:p>
        </w:tc>
        <w:tc>
          <w:tcPr/>
          <w:p>
            <w:pPr>
              <w:pStyle w:val="Compact"/>
              <w:jc w:val="right"/>
            </w:pPr>
            <w:r>
              <w:t xml:space="preserve">7964.95</w:t>
            </w:r>
          </w:p>
        </w:tc>
        <w:tc>
          <w:tcPr/>
          <w:p>
            <w:pPr>
              <w:pStyle w:val="Compact"/>
              <w:jc w:val="right"/>
            </w:pPr>
            <w:r>
              <w:t xml:space="preserve">7965.66</w:t>
            </w:r>
          </w:p>
        </w:tc>
        <w:tc>
          <w:tcPr/>
          <w:p>
            <w:pPr>
              <w:pStyle w:val="Compact"/>
              <w:jc w:val="right"/>
            </w:pPr>
            <w:r>
              <w:t xml:space="preserve">7965.87</w:t>
            </w:r>
          </w:p>
        </w:tc>
        <w:tc>
          <w:tcPr/>
          <w:p>
            <w:pPr>
              <w:pStyle w:val="Compact"/>
              <w:jc w:val="right"/>
            </w:pPr>
            <w:r>
              <w:t xml:space="preserve">7965.27</w:t>
            </w:r>
          </w:p>
        </w:tc>
        <w:tc>
          <w:tcPr/>
          <w:p>
            <w:pPr>
              <w:pStyle w:val="Compact"/>
              <w:jc w:val="right"/>
            </w:pPr>
            <w:r>
              <w:t xml:space="preserve">7969.89</w:t>
            </w:r>
          </w:p>
        </w:tc>
        <w:tc>
          <w:tcPr/>
          <w:p>
            <w:pPr>
              <w:pStyle w:val="Compact"/>
              <w:jc w:val="right"/>
            </w:pPr>
            <w:r>
              <w:t xml:space="preserve">7970.11</w:t>
            </w:r>
          </w:p>
        </w:tc>
        <w:tc>
          <w:tcPr/>
          <w:p>
            <w:pPr>
              <w:pStyle w:val="Compact"/>
              <w:jc w:val="right"/>
            </w:pPr>
            <w:r>
              <w:t xml:space="preserve">7965.74</w:t>
            </w:r>
          </w:p>
        </w:tc>
        <w:tc>
          <w:tcPr/>
          <w:p>
            <w:pPr>
              <w:pStyle w:val="Compact"/>
              <w:jc w:val="right"/>
            </w:pPr>
            <w:r>
              <w:t xml:space="preserve">7963.69</w:t>
            </w:r>
          </w:p>
        </w:tc>
        <w:tc>
          <w:tcPr/>
          <w:p>
            <w:pPr>
              <w:pStyle w:val="Compact"/>
              <w:jc w:val="right"/>
            </w:pPr>
            <w:r>
              <w:t xml:space="preserve">7963.73</w:t>
            </w:r>
          </w:p>
        </w:tc>
        <w:tc>
          <w:tcPr/>
          <w:p>
            <w:pPr>
              <w:pStyle w:val="Compact"/>
              <w:jc w:val="right"/>
            </w:pPr>
            <w:r>
              <w:t xml:space="preserve">7970.57</w:t>
            </w:r>
          </w:p>
        </w:tc>
        <w:tc>
          <w:tcPr/>
          <w:p>
            <w:pPr>
              <w:pStyle w:val="Compact"/>
              <w:jc w:val="right"/>
            </w:pPr>
            <w:r>
              <w:t xml:space="preserve">7970.54</w:t>
            </w:r>
          </w:p>
        </w:tc>
        <w:tc>
          <w:tcPr/>
          <w:p>
            <w:pPr>
              <w:pStyle w:val="Compact"/>
              <w:jc w:val="right"/>
            </w:pPr>
            <w:r>
              <w:t xml:space="preserve">7966.84</w:t>
            </w:r>
          </w:p>
        </w:tc>
      </w:tr>
      <w:tr>
        <w:tc>
          <w:tcPr/>
          <w:p>
            <w:pPr>
              <w:pStyle w:val="Compact"/>
              <w:jc w:val="left"/>
            </w:pPr>
            <w:r>
              <w:t xml:space="preserve">Positive_growth_penalty</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Total</w:t>
            </w:r>
          </w:p>
        </w:tc>
        <w:tc>
          <w:tcPr/>
          <w:p>
            <w:pPr>
              <w:pStyle w:val="Compact"/>
              <w:jc w:val="right"/>
            </w:pPr>
            <w:r>
              <w:t xml:space="preserve">-19170.73</w:t>
            </w:r>
          </w:p>
        </w:tc>
        <w:tc>
          <w:tcPr/>
          <w:p>
            <w:pPr>
              <w:pStyle w:val="Compact"/>
              <w:jc w:val="right"/>
            </w:pPr>
            <w:r>
              <w:t xml:space="preserve">-19167.83</w:t>
            </w:r>
          </w:p>
        </w:tc>
        <w:tc>
          <w:tcPr/>
          <w:p>
            <w:pPr>
              <w:pStyle w:val="Compact"/>
              <w:jc w:val="right"/>
            </w:pPr>
            <w:r>
              <w:t xml:space="preserve">-19123.58</w:t>
            </w:r>
          </w:p>
        </w:tc>
        <w:tc>
          <w:tcPr/>
          <w:p>
            <w:pPr>
              <w:pStyle w:val="Compact"/>
              <w:jc w:val="right"/>
            </w:pPr>
            <w:r>
              <w:t xml:space="preserve">-19118.76</w:t>
            </w:r>
          </w:p>
        </w:tc>
        <w:tc>
          <w:tcPr/>
          <w:p>
            <w:pPr>
              <w:pStyle w:val="Compact"/>
              <w:jc w:val="right"/>
            </w:pPr>
            <w:r>
              <w:t xml:space="preserve">-19173.27</w:t>
            </w:r>
          </w:p>
        </w:tc>
        <w:tc>
          <w:tcPr/>
          <w:p>
            <w:pPr>
              <w:pStyle w:val="Compact"/>
              <w:jc w:val="right"/>
            </w:pPr>
            <w:r>
              <w:t xml:space="preserve">-19194.02</w:t>
            </w:r>
          </w:p>
        </w:tc>
        <w:tc>
          <w:tcPr/>
          <w:p>
            <w:pPr>
              <w:pStyle w:val="Compact"/>
              <w:jc w:val="right"/>
            </w:pPr>
            <w:r>
              <w:t xml:space="preserve">-19225.90</w:t>
            </w:r>
          </w:p>
        </w:tc>
        <w:tc>
          <w:tcPr/>
          <w:p>
            <w:pPr>
              <w:pStyle w:val="Compact"/>
              <w:jc w:val="right"/>
            </w:pPr>
            <w:r>
              <w:t xml:space="preserve">-18864.12</w:t>
            </w:r>
          </w:p>
        </w:tc>
        <w:tc>
          <w:tcPr/>
          <w:p>
            <w:pPr>
              <w:pStyle w:val="Compact"/>
              <w:jc w:val="right"/>
            </w:pPr>
            <w:r>
              <w:t xml:space="preserve">-19202.34</w:t>
            </w:r>
          </w:p>
        </w:tc>
        <w:tc>
          <w:tcPr/>
          <w:p>
            <w:pPr>
              <w:pStyle w:val="Compact"/>
              <w:jc w:val="right"/>
            </w:pPr>
            <w:r>
              <w:t xml:space="preserve">-18615.87</w:t>
            </w:r>
          </w:p>
        </w:tc>
        <w:tc>
          <w:tcPr/>
          <w:p>
            <w:pPr>
              <w:pStyle w:val="Compact"/>
              <w:jc w:val="right"/>
            </w:pPr>
            <w:r>
              <w:t xml:space="preserve">-18652.14</w:t>
            </w:r>
          </w:p>
        </w:tc>
        <w:tc>
          <w:tcPr/>
          <w:p>
            <w:pPr>
              <w:pStyle w:val="Compact"/>
              <w:jc w:val="right"/>
            </w:pPr>
            <w:r>
              <w:t xml:space="preserve">-19197.43</w:t>
            </w:r>
          </w:p>
        </w:tc>
        <w:tc>
          <w:tcPr/>
          <w:p>
            <w:pPr>
              <w:pStyle w:val="Compact"/>
              <w:jc w:val="right"/>
            </w:pPr>
            <w:r>
              <w:t xml:space="preserve">-19209.45</w:t>
            </w:r>
          </w:p>
        </w:tc>
        <w:tc>
          <w:tcPr/>
          <w:p>
            <w:pPr>
              <w:pStyle w:val="Compact"/>
              <w:jc w:val="right"/>
            </w:pPr>
            <w:r>
              <w:t xml:space="preserve">-18576.79</w:t>
            </w:r>
          </w:p>
        </w:tc>
      </w:tr>
    </w:tbl>
    <w:p>
      <w:r>
        <w:br w:type="page"/>
      </w:r>
    </w:p>
    <w:p>
      <w:r>
        <w:br w:type="page"/>
      </w:r>
    </w:p>
    <w:p>
      <w:pPr>
        <w:pStyle w:val="TableCaption"/>
      </w:pPr>
      <w:r>
        <w:t xml:space="preserve"> </w:t>
      </w:r>
      <w:r>
        <w:t xml:space="preserve">Comparison of observed retained catches, discards, and bycatch between base and hybrid cases (Units: 1,000 tonnes).</w:t>
      </w:r>
    </w:p>
    <w:tbl>
      <w:tblPr>
        <w:tblStyle w:val="Table"/>
        <w:tblW w:type="pct" w:w="5000"/>
        <w:tblLayout w:type="fixed"/>
        <w:tblLook w:firstRow="1" w:lastRow="0" w:firstColumn="0" w:lastColumn="0" w:noHBand="0" w:noVBand="0" w:val="0020"/>
        <w:tblCaption w:val=" Comparison of observed retained catches, discards, and bycatch between base and hybrid cases (Units: 1,000 tonnes)."/>
      </w:tblPr>
      <w:tblGrid>
        <w:gridCol w:w="710"/>
        <w:gridCol w:w="1116"/>
        <w:gridCol w:w="1523"/>
        <w:gridCol w:w="1116"/>
        <w:gridCol w:w="1320"/>
        <w:gridCol w:w="1015"/>
        <w:gridCol w:w="1116"/>
      </w:tblGrid>
      <w:tr>
        <w:trPr>
          <w:tblHeader w:val="on"/>
        </w:trPr>
        <w:tc>
          <w:tcPr/>
          <w:p>
            <w:pPr>
              <w:pStyle w:val="Compact"/>
              <w:jc w:val="left"/>
            </w:pPr>
            <w:r>
              <w:t xml:space="preserve">Year</w:t>
            </w:r>
          </w:p>
        </w:tc>
        <w:tc>
          <w:tcPr/>
          <w:p>
            <w:pPr>
              <w:pStyle w:val="Compact"/>
              <w:jc w:val="left"/>
            </w:pPr>
            <w:r>
              <w:t xml:space="preserve">Retained</w:t>
            </w:r>
            <w:r>
              <w:t xml:space="preserve"> </w:t>
            </w:r>
            <w:r>
              <w:t xml:space="preserve">(kt)</w:t>
            </w:r>
          </w:p>
        </w:tc>
        <w:tc>
          <w:tcPr/>
          <w:p>
            <w:pPr>
              <w:pStyle w:val="Compact"/>
              <w:jc w:val="left"/>
            </w:pPr>
            <w:r>
              <w:t xml:space="preserve">Non-directed</w:t>
            </w:r>
            <w:r>
              <w:t xml:space="preserve"> </w:t>
            </w:r>
            <w:r>
              <w:t xml:space="preserve">Bycatch</w:t>
            </w:r>
          </w:p>
        </w:tc>
        <w:tc>
          <w:tcPr/>
          <w:p>
            <w:pPr>
              <w:pStyle w:val="Compact"/>
              <w:jc w:val="left"/>
            </w:pPr>
            <w:r>
              <w:t xml:space="preserve">Discard</w:t>
            </w:r>
            <w:r>
              <w:t xml:space="preserve"> </w:t>
            </w:r>
            <w:r>
              <w:t xml:space="preserve">Male Pot</w:t>
            </w:r>
          </w:p>
        </w:tc>
        <w:tc>
          <w:tcPr/>
          <w:p>
            <w:pPr>
              <w:pStyle w:val="Compact"/>
              <w:jc w:val="left"/>
            </w:pPr>
            <w:r>
              <w:t xml:space="preserve">Discard</w:t>
            </w:r>
            <w:r>
              <w:t xml:space="preserve"> </w:t>
            </w:r>
            <w:r>
              <w:t xml:space="preserve">Male Pot +</w:t>
            </w:r>
            <w:r>
              <w:t xml:space="preserve"> </w:t>
            </w:r>
            <w:r>
              <w:t xml:space="preserve">hybrids</w:t>
            </w:r>
          </w:p>
        </w:tc>
        <w:tc>
          <w:tcPr/>
          <w:p>
            <w:pPr>
              <w:pStyle w:val="Compact"/>
              <w:jc w:val="left"/>
            </w:pPr>
            <w:r>
              <w:t xml:space="preserve">Discard</w:t>
            </w:r>
            <w:r>
              <w:t xml:space="preserve"> </w:t>
            </w:r>
            <w:r>
              <w:t xml:space="preserve">Female</w:t>
            </w:r>
          </w:p>
        </w:tc>
        <w:tc>
          <w:tcPr/>
          <w:p>
            <w:pPr>
              <w:pStyle w:val="Compact"/>
              <w:jc w:val="left"/>
            </w:pPr>
            <w:r>
              <w:t xml:space="preserve">Discard</w:t>
            </w:r>
            <w:r>
              <w:t xml:space="preserve"> </w:t>
            </w:r>
            <w:r>
              <w:t xml:space="preserve">Female +</w:t>
            </w:r>
            <w:r>
              <w:t xml:space="preserve"> </w:t>
            </w:r>
            <w:r>
              <w:t xml:space="preserve">hybrids</w:t>
            </w:r>
          </w:p>
        </w:tc>
      </w:tr>
      <w:tr>
        <w:tc>
          <w:tcPr/>
          <w:p>
            <w:pPr>
              <w:pStyle w:val="Compact"/>
              <w:jc w:val="left"/>
            </w:pPr>
            <w:r>
              <w:t xml:space="preserve">1982</w:t>
            </w:r>
          </w:p>
        </w:tc>
        <w:tc>
          <w:tcPr/>
          <w:p>
            <w:pPr>
              <w:pStyle w:val="Compact"/>
              <w:jc w:val="left"/>
            </w:pPr>
            <w:r>
              <w:t xml:space="preserve">11.85</w:t>
            </w:r>
          </w:p>
        </w:tc>
        <w:tc>
          <w:tcPr/>
          <w:p>
            <w:pPr>
              <w:pStyle w:val="Compact"/>
              <w:jc w:val="left"/>
            </w:pPr>
            <w:r>
              <w:t xml:space="preserve">0.37</w:t>
            </w:r>
          </w:p>
        </w:tc>
        <w:tc>
          <w:tcPr/>
          <w:p>
            <w:pPr>
              <w:pStyle w:val="Compact"/>
              <w:jc w:val="left"/>
            </w:pPr>
            <w:r>
              <w:t xml:space="preserve">1.27</w:t>
            </w:r>
          </w:p>
        </w:tc>
        <w:tc>
          <w:tcPr/>
          <w:p>
            <w:pPr>
              <w:pStyle w:val="Compact"/>
              <w:jc w:val="left"/>
            </w:pPr>
            <w:r>
              <w:t xml:space="preserve">1.27</w:t>
            </w:r>
          </w:p>
        </w:tc>
        <w:tc>
          <w:tcPr/>
          <w:p>
            <w:pPr>
              <w:pStyle w:val="Compact"/>
              <w:jc w:val="left"/>
            </w:pPr>
            <w:r>
              <w:t xml:space="preserve">0.02</w:t>
            </w:r>
          </w:p>
        </w:tc>
        <w:tc>
          <w:tcPr/>
          <w:p>
            <w:pPr>
              <w:pStyle w:val="Compact"/>
              <w:jc w:val="left"/>
            </w:pPr>
            <w:r>
              <w:t xml:space="preserve">0.02</w:t>
            </w:r>
          </w:p>
        </w:tc>
      </w:tr>
      <w:tr>
        <w:tc>
          <w:tcPr/>
          <w:p>
            <w:pPr>
              <w:pStyle w:val="Compact"/>
              <w:jc w:val="left"/>
            </w:pPr>
            <w:r>
              <w:t xml:space="preserve">1983</w:t>
            </w:r>
          </w:p>
        </w:tc>
        <w:tc>
          <w:tcPr/>
          <w:p>
            <w:pPr>
              <w:pStyle w:val="Compact"/>
              <w:jc w:val="left"/>
            </w:pPr>
            <w:r>
              <w:t xml:space="preserve">12.16</w:t>
            </w:r>
          </w:p>
        </w:tc>
        <w:tc>
          <w:tcPr/>
          <w:p>
            <w:pPr>
              <w:pStyle w:val="Compact"/>
              <w:jc w:val="left"/>
            </w:pPr>
            <w:r>
              <w:t xml:space="preserve">0.47</w:t>
            </w:r>
          </w:p>
        </w:tc>
        <w:tc>
          <w:tcPr/>
          <w:p>
            <w:pPr>
              <w:pStyle w:val="Compact"/>
              <w:jc w:val="left"/>
            </w:pPr>
            <w:r>
              <w:t xml:space="preserve">1.24</w:t>
            </w:r>
          </w:p>
        </w:tc>
        <w:tc>
          <w:tcPr/>
          <w:p>
            <w:pPr>
              <w:pStyle w:val="Compact"/>
              <w:jc w:val="left"/>
            </w:pPr>
            <w:r>
              <w:t xml:space="preserve">1.24</w:t>
            </w:r>
          </w:p>
        </w:tc>
        <w:tc>
          <w:tcPr/>
          <w:p>
            <w:pPr>
              <w:pStyle w:val="Compact"/>
              <w:jc w:val="left"/>
            </w:pPr>
            <w:r>
              <w:t xml:space="preserve">0.01</w:t>
            </w:r>
          </w:p>
        </w:tc>
        <w:tc>
          <w:tcPr/>
          <w:p>
            <w:pPr>
              <w:pStyle w:val="Compact"/>
              <w:jc w:val="left"/>
            </w:pPr>
            <w:r>
              <w:t xml:space="preserve">0.01</w:t>
            </w:r>
          </w:p>
        </w:tc>
      </w:tr>
      <w:tr>
        <w:tc>
          <w:tcPr/>
          <w:p>
            <w:pPr>
              <w:pStyle w:val="Compact"/>
              <w:jc w:val="left"/>
            </w:pPr>
            <w:r>
              <w:t xml:space="preserve">1984</w:t>
            </w:r>
          </w:p>
        </w:tc>
        <w:tc>
          <w:tcPr/>
          <w:p>
            <w:pPr>
              <w:pStyle w:val="Compact"/>
              <w:jc w:val="left"/>
            </w:pPr>
            <w:r>
              <w:t xml:space="preserve">29.94</w:t>
            </w:r>
          </w:p>
        </w:tc>
        <w:tc>
          <w:tcPr/>
          <w:p>
            <w:pPr>
              <w:pStyle w:val="Compact"/>
              <w:jc w:val="left"/>
            </w:pPr>
            <w:r>
              <w:t xml:space="preserve">0.5</w:t>
            </w:r>
          </w:p>
        </w:tc>
        <w:tc>
          <w:tcPr/>
          <w:p>
            <w:pPr>
              <w:pStyle w:val="Compact"/>
              <w:jc w:val="left"/>
            </w:pPr>
            <w:r>
              <w:t xml:space="preserve">2.76</w:t>
            </w:r>
          </w:p>
        </w:tc>
        <w:tc>
          <w:tcPr/>
          <w:p>
            <w:pPr>
              <w:pStyle w:val="Compact"/>
              <w:jc w:val="left"/>
            </w:pPr>
            <w:r>
              <w:t xml:space="preserve">2.76</w:t>
            </w:r>
          </w:p>
        </w:tc>
        <w:tc>
          <w:tcPr/>
          <w:p>
            <w:pPr>
              <w:pStyle w:val="Compact"/>
              <w:jc w:val="left"/>
            </w:pPr>
            <w:r>
              <w:t xml:space="preserve">0.01</w:t>
            </w:r>
          </w:p>
        </w:tc>
        <w:tc>
          <w:tcPr/>
          <w:p>
            <w:pPr>
              <w:pStyle w:val="Compact"/>
              <w:jc w:val="left"/>
            </w:pPr>
            <w:r>
              <w:t xml:space="preserve">0.01</w:t>
            </w:r>
          </w:p>
        </w:tc>
      </w:tr>
      <w:tr>
        <w:tc>
          <w:tcPr/>
          <w:p>
            <w:pPr>
              <w:pStyle w:val="Compact"/>
              <w:jc w:val="left"/>
            </w:pPr>
            <w:r>
              <w:t xml:space="preserve">1985</w:t>
            </w:r>
          </w:p>
        </w:tc>
        <w:tc>
          <w:tcPr/>
          <w:p>
            <w:pPr>
              <w:pStyle w:val="Compact"/>
              <w:jc w:val="left"/>
            </w:pPr>
            <w:r>
              <w:t xml:space="preserve">44.45</w:t>
            </w:r>
          </w:p>
        </w:tc>
        <w:tc>
          <w:tcPr/>
          <w:p>
            <w:pPr>
              <w:pStyle w:val="Compact"/>
              <w:jc w:val="left"/>
            </w:pPr>
            <w:r>
              <w:t xml:space="preserve">0.43</w:t>
            </w:r>
          </w:p>
        </w:tc>
        <w:tc>
          <w:tcPr/>
          <w:p>
            <w:pPr>
              <w:pStyle w:val="Compact"/>
              <w:jc w:val="left"/>
            </w:pPr>
            <w:r>
              <w:t xml:space="preserve">4.01</w:t>
            </w:r>
          </w:p>
        </w:tc>
        <w:tc>
          <w:tcPr/>
          <w:p>
            <w:pPr>
              <w:pStyle w:val="Compact"/>
              <w:jc w:val="left"/>
            </w:pPr>
            <w:r>
              <w:t xml:space="preserve">4.01</w:t>
            </w:r>
          </w:p>
        </w:tc>
        <w:tc>
          <w:tcPr/>
          <w:p>
            <w:pPr>
              <w:pStyle w:val="Compact"/>
              <w:jc w:val="left"/>
            </w:pPr>
            <w:r>
              <w:t xml:space="preserve">0.01</w:t>
            </w:r>
          </w:p>
        </w:tc>
        <w:tc>
          <w:tcPr/>
          <w:p>
            <w:pPr>
              <w:pStyle w:val="Compact"/>
              <w:jc w:val="left"/>
            </w:pPr>
            <w:r>
              <w:t xml:space="preserve">0.01</w:t>
            </w:r>
          </w:p>
        </w:tc>
      </w:tr>
      <w:tr>
        <w:tc>
          <w:tcPr/>
          <w:p>
            <w:pPr>
              <w:pStyle w:val="Compact"/>
              <w:jc w:val="left"/>
            </w:pPr>
            <w:r>
              <w:t xml:space="preserve">1986</w:t>
            </w:r>
          </w:p>
        </w:tc>
        <w:tc>
          <w:tcPr/>
          <w:p>
            <w:pPr>
              <w:pStyle w:val="Compact"/>
              <w:jc w:val="left"/>
            </w:pPr>
            <w:r>
              <w:t xml:space="preserve">46.22</w:t>
            </w:r>
          </w:p>
        </w:tc>
        <w:tc>
          <w:tcPr/>
          <w:p>
            <w:pPr>
              <w:pStyle w:val="Compact"/>
              <w:jc w:val="left"/>
            </w:pPr>
            <w:r>
              <w:t xml:space="preserve">0</w:t>
            </w:r>
          </w:p>
        </w:tc>
        <w:tc>
          <w:tcPr/>
          <w:p>
            <w:pPr>
              <w:pStyle w:val="Compact"/>
              <w:jc w:val="left"/>
            </w:pPr>
            <w:r>
              <w:t xml:space="preserve">4.25</w:t>
            </w:r>
          </w:p>
        </w:tc>
        <w:tc>
          <w:tcPr/>
          <w:p>
            <w:pPr>
              <w:pStyle w:val="Compact"/>
              <w:jc w:val="left"/>
            </w:pPr>
            <w:r>
              <w:t xml:space="preserve">4.25</w:t>
            </w:r>
          </w:p>
        </w:tc>
        <w:tc>
          <w:tcPr/>
          <w:p>
            <w:pPr>
              <w:pStyle w:val="Compact"/>
              <w:jc w:val="left"/>
            </w:pPr>
            <w:r>
              <w:t xml:space="preserve">0.02</w:t>
            </w:r>
          </w:p>
        </w:tc>
        <w:tc>
          <w:tcPr/>
          <w:p>
            <w:pPr>
              <w:pStyle w:val="Compact"/>
              <w:jc w:val="left"/>
            </w:pPr>
            <w:r>
              <w:t xml:space="preserve">0.02</w:t>
            </w:r>
          </w:p>
        </w:tc>
      </w:tr>
      <w:tr>
        <w:tc>
          <w:tcPr/>
          <w:p>
            <w:pPr>
              <w:pStyle w:val="Compact"/>
              <w:jc w:val="left"/>
            </w:pPr>
            <w:r>
              <w:t xml:space="preserve">1987</w:t>
            </w:r>
          </w:p>
        </w:tc>
        <w:tc>
          <w:tcPr/>
          <w:p>
            <w:pPr>
              <w:pStyle w:val="Compact"/>
              <w:jc w:val="left"/>
            </w:pPr>
            <w:r>
              <w:t xml:space="preserve">61.4</w:t>
            </w:r>
          </w:p>
        </w:tc>
        <w:tc>
          <w:tcPr/>
          <w:p>
            <w:pPr>
              <w:pStyle w:val="Compact"/>
              <w:jc w:val="left"/>
            </w:pPr>
            <w:r>
              <w:t xml:space="preserve">0</w:t>
            </w:r>
          </w:p>
        </w:tc>
        <w:tc>
          <w:tcPr/>
          <w:p>
            <w:pPr>
              <w:pStyle w:val="Compact"/>
              <w:jc w:val="left"/>
            </w:pPr>
            <w:r>
              <w:t xml:space="preserve">5.52</w:t>
            </w:r>
          </w:p>
        </w:tc>
        <w:tc>
          <w:tcPr/>
          <w:p>
            <w:pPr>
              <w:pStyle w:val="Compact"/>
              <w:jc w:val="left"/>
            </w:pPr>
            <w:r>
              <w:t xml:space="preserve">5.52</w:t>
            </w:r>
          </w:p>
        </w:tc>
        <w:tc>
          <w:tcPr/>
          <w:p>
            <w:pPr>
              <w:pStyle w:val="Compact"/>
              <w:jc w:val="left"/>
            </w:pPr>
            <w:r>
              <w:t xml:space="preserve">0.03</w:t>
            </w:r>
          </w:p>
        </w:tc>
        <w:tc>
          <w:tcPr/>
          <w:p>
            <w:pPr>
              <w:pStyle w:val="Compact"/>
              <w:jc w:val="left"/>
            </w:pPr>
            <w:r>
              <w:t xml:space="preserve">0.03</w:t>
            </w:r>
          </w:p>
        </w:tc>
      </w:tr>
      <w:tr>
        <w:tc>
          <w:tcPr/>
          <w:p>
            <w:pPr>
              <w:pStyle w:val="Compact"/>
              <w:jc w:val="left"/>
            </w:pPr>
            <w:r>
              <w:t xml:space="preserve">1988</w:t>
            </w:r>
          </w:p>
        </w:tc>
        <w:tc>
          <w:tcPr/>
          <w:p>
            <w:pPr>
              <w:pStyle w:val="Compact"/>
              <w:jc w:val="left"/>
            </w:pPr>
            <w:r>
              <w:t xml:space="preserve">67.79</w:t>
            </w:r>
          </w:p>
        </w:tc>
        <w:tc>
          <w:tcPr/>
          <w:p>
            <w:pPr>
              <w:pStyle w:val="Compact"/>
              <w:jc w:val="left"/>
            </w:pPr>
            <w:r>
              <w:t xml:space="preserve">0</w:t>
            </w:r>
          </w:p>
        </w:tc>
        <w:tc>
          <w:tcPr/>
          <w:p>
            <w:pPr>
              <w:pStyle w:val="Compact"/>
              <w:jc w:val="left"/>
            </w:pPr>
            <w:r>
              <w:t xml:space="preserve">5.82</w:t>
            </w:r>
          </w:p>
        </w:tc>
        <w:tc>
          <w:tcPr/>
          <w:p>
            <w:pPr>
              <w:pStyle w:val="Compact"/>
              <w:jc w:val="left"/>
            </w:pPr>
            <w:r>
              <w:t xml:space="preserve">5.82</w:t>
            </w:r>
          </w:p>
        </w:tc>
        <w:tc>
          <w:tcPr/>
          <w:p>
            <w:pPr>
              <w:pStyle w:val="Compact"/>
              <w:jc w:val="left"/>
            </w:pPr>
            <w:r>
              <w:t xml:space="preserve">0.04</w:t>
            </w:r>
          </w:p>
        </w:tc>
        <w:tc>
          <w:tcPr/>
          <w:p>
            <w:pPr>
              <w:pStyle w:val="Compact"/>
              <w:jc w:val="left"/>
            </w:pPr>
            <w:r>
              <w:t xml:space="preserve">0.04</w:t>
            </w:r>
          </w:p>
        </w:tc>
      </w:tr>
      <w:tr>
        <w:tc>
          <w:tcPr/>
          <w:p>
            <w:pPr>
              <w:pStyle w:val="Compact"/>
              <w:jc w:val="left"/>
            </w:pPr>
            <w:r>
              <w:t xml:space="preserve">1989</w:t>
            </w:r>
          </w:p>
        </w:tc>
        <w:tc>
          <w:tcPr/>
          <w:p>
            <w:pPr>
              <w:pStyle w:val="Compact"/>
              <w:jc w:val="left"/>
            </w:pPr>
            <w:r>
              <w:t xml:space="preserve">73.33</w:t>
            </w:r>
          </w:p>
        </w:tc>
        <w:tc>
          <w:tcPr/>
          <w:p>
            <w:pPr>
              <w:pStyle w:val="Compact"/>
              <w:jc w:val="left"/>
            </w:pPr>
            <w:r>
              <w:t xml:space="preserve">0.1</w:t>
            </w:r>
          </w:p>
        </w:tc>
        <w:tc>
          <w:tcPr/>
          <w:p>
            <w:pPr>
              <w:pStyle w:val="Compact"/>
              <w:jc w:val="left"/>
            </w:pPr>
            <w:r>
              <w:t xml:space="preserve">6.68</w:t>
            </w:r>
          </w:p>
        </w:tc>
        <w:tc>
          <w:tcPr/>
          <w:p>
            <w:pPr>
              <w:pStyle w:val="Compact"/>
              <w:jc w:val="left"/>
            </w:pPr>
            <w:r>
              <w:t xml:space="preserve">6.68</w:t>
            </w:r>
          </w:p>
        </w:tc>
        <w:tc>
          <w:tcPr/>
          <w:p>
            <w:pPr>
              <w:pStyle w:val="Compact"/>
              <w:jc w:val="left"/>
            </w:pPr>
            <w:r>
              <w:t xml:space="preserve">0.05</w:t>
            </w:r>
          </w:p>
        </w:tc>
        <w:tc>
          <w:tcPr/>
          <w:p>
            <w:pPr>
              <w:pStyle w:val="Compact"/>
              <w:jc w:val="left"/>
            </w:pPr>
            <w:r>
              <w:t xml:space="preserve">0.05</w:t>
            </w:r>
          </w:p>
        </w:tc>
      </w:tr>
      <w:tr>
        <w:tc>
          <w:tcPr/>
          <w:p>
            <w:pPr>
              <w:pStyle w:val="Compact"/>
              <w:jc w:val="left"/>
            </w:pPr>
            <w:r>
              <w:t xml:space="preserve">1990</w:t>
            </w:r>
          </w:p>
        </w:tc>
        <w:tc>
          <w:tcPr/>
          <w:p>
            <w:pPr>
              <w:pStyle w:val="Compact"/>
              <w:jc w:val="left"/>
            </w:pPr>
            <w:r>
              <w:t xml:space="preserve">149.1</w:t>
            </w:r>
          </w:p>
        </w:tc>
        <w:tc>
          <w:tcPr/>
          <w:p>
            <w:pPr>
              <w:pStyle w:val="Compact"/>
              <w:jc w:val="left"/>
            </w:pPr>
            <w:r>
              <w:t xml:space="preserve">0.33</w:t>
            </w:r>
          </w:p>
        </w:tc>
        <w:tc>
          <w:tcPr/>
          <w:p>
            <w:pPr>
              <w:pStyle w:val="Compact"/>
              <w:jc w:val="left"/>
            </w:pPr>
            <w:r>
              <w:t xml:space="preserve">35.55</w:t>
            </w:r>
          </w:p>
        </w:tc>
        <w:tc>
          <w:tcPr/>
          <w:p>
            <w:pPr>
              <w:pStyle w:val="Compact"/>
              <w:jc w:val="left"/>
            </w:pPr>
            <w:r>
              <w:t xml:space="preserve">42.15</w:t>
            </w:r>
          </w:p>
        </w:tc>
        <w:tc>
          <w:tcPr/>
          <w:p>
            <w:pPr>
              <w:pStyle w:val="Compact"/>
              <w:jc w:val="left"/>
            </w:pPr>
            <w:r>
              <w:t xml:space="preserve">1.52</w:t>
            </w:r>
          </w:p>
        </w:tc>
        <w:tc>
          <w:tcPr/>
          <w:p>
            <w:pPr>
              <w:pStyle w:val="Compact"/>
              <w:jc w:val="left"/>
            </w:pPr>
            <w:r>
              <w:t xml:space="preserve">1.54</w:t>
            </w:r>
          </w:p>
        </w:tc>
      </w:tr>
      <w:tr>
        <w:tc>
          <w:tcPr/>
          <w:p>
            <w:pPr>
              <w:pStyle w:val="Compact"/>
              <w:jc w:val="left"/>
            </w:pPr>
            <w:r>
              <w:t xml:space="preserve">1991</w:t>
            </w:r>
          </w:p>
        </w:tc>
        <w:tc>
          <w:tcPr/>
          <w:p>
            <w:pPr>
              <w:pStyle w:val="Compact"/>
              <w:jc w:val="left"/>
            </w:pPr>
            <w:r>
              <w:t xml:space="preserve">143</w:t>
            </w:r>
          </w:p>
        </w:tc>
        <w:tc>
          <w:tcPr/>
          <w:p>
            <w:pPr>
              <w:pStyle w:val="Compact"/>
              <w:jc w:val="left"/>
            </w:pPr>
            <w:r>
              <w:t xml:space="preserve">4.45</w:t>
            </w:r>
          </w:p>
        </w:tc>
        <w:tc>
          <w:tcPr/>
          <w:p>
            <w:pPr>
              <w:pStyle w:val="Compact"/>
              <w:jc w:val="left"/>
            </w:pPr>
            <w:r>
              <w:t xml:space="preserve">9.03</w:t>
            </w:r>
          </w:p>
        </w:tc>
        <w:tc>
          <w:tcPr/>
          <w:p>
            <w:pPr>
              <w:pStyle w:val="Compact"/>
              <w:jc w:val="left"/>
            </w:pPr>
            <w:r>
              <w:t xml:space="preserve">15.25</w:t>
            </w:r>
          </w:p>
        </w:tc>
        <w:tc>
          <w:tcPr/>
          <w:p>
            <w:pPr>
              <w:pStyle w:val="Compact"/>
              <w:jc w:val="left"/>
            </w:pPr>
            <w:r>
              <w:t xml:space="preserve">0.2</w:t>
            </w:r>
          </w:p>
        </w:tc>
        <w:tc>
          <w:tcPr/>
          <w:p>
            <w:pPr>
              <w:pStyle w:val="Compact"/>
              <w:jc w:val="left"/>
            </w:pPr>
            <w:r>
              <w:t xml:space="preserve">0.23</w:t>
            </w:r>
          </w:p>
        </w:tc>
      </w:tr>
      <w:tr>
        <w:tc>
          <w:tcPr/>
          <w:p>
            <w:pPr>
              <w:pStyle w:val="Compact"/>
              <w:jc w:val="left"/>
            </w:pPr>
            <w:r>
              <w:t xml:space="preserve">1992</w:t>
            </w:r>
          </w:p>
        </w:tc>
        <w:tc>
          <w:tcPr/>
          <w:p>
            <w:pPr>
              <w:pStyle w:val="Compact"/>
              <w:jc w:val="left"/>
            </w:pPr>
            <w:r>
              <w:t xml:space="preserve">104.7</w:t>
            </w:r>
          </w:p>
        </w:tc>
        <w:tc>
          <w:tcPr/>
          <w:p>
            <w:pPr>
              <w:pStyle w:val="Compact"/>
              <w:jc w:val="left"/>
            </w:pPr>
            <w:r>
              <w:t xml:space="preserve">2.05</w:t>
            </w:r>
          </w:p>
        </w:tc>
        <w:tc>
          <w:tcPr/>
          <w:p>
            <w:pPr>
              <w:pStyle w:val="Compact"/>
              <w:jc w:val="left"/>
            </w:pPr>
            <w:r>
              <w:t xml:space="preserve">21.18</w:t>
            </w:r>
          </w:p>
        </w:tc>
        <w:tc>
          <w:tcPr/>
          <w:p>
            <w:pPr>
              <w:pStyle w:val="Compact"/>
              <w:jc w:val="left"/>
            </w:pPr>
            <w:r>
              <w:t xml:space="preserve">26.96</w:t>
            </w:r>
          </w:p>
        </w:tc>
        <w:tc>
          <w:tcPr/>
          <w:p>
            <w:pPr>
              <w:pStyle w:val="Compact"/>
              <w:jc w:val="left"/>
            </w:pPr>
            <w:r>
              <w:t xml:space="preserve">0.28</w:t>
            </w:r>
          </w:p>
        </w:tc>
        <w:tc>
          <w:tcPr/>
          <w:p>
            <w:pPr>
              <w:pStyle w:val="Compact"/>
              <w:jc w:val="left"/>
            </w:pPr>
            <w:r>
              <w:t xml:space="preserve">0.29</w:t>
            </w:r>
          </w:p>
        </w:tc>
      </w:tr>
      <w:tr>
        <w:tc>
          <w:tcPr/>
          <w:p>
            <w:pPr>
              <w:pStyle w:val="Compact"/>
              <w:jc w:val="left"/>
            </w:pPr>
            <w:r>
              <w:t xml:space="preserve">1993</w:t>
            </w:r>
          </w:p>
        </w:tc>
        <w:tc>
          <w:tcPr/>
          <w:p>
            <w:pPr>
              <w:pStyle w:val="Compact"/>
              <w:jc w:val="left"/>
            </w:pPr>
            <w:r>
              <w:t xml:space="preserve">67.94</w:t>
            </w:r>
          </w:p>
        </w:tc>
        <w:tc>
          <w:tcPr/>
          <w:p>
            <w:pPr>
              <w:pStyle w:val="Compact"/>
              <w:jc w:val="left"/>
            </w:pPr>
            <w:r>
              <w:t xml:space="preserve">1.13</w:t>
            </w:r>
          </w:p>
        </w:tc>
        <w:tc>
          <w:tcPr/>
          <w:p>
            <w:pPr>
              <w:pStyle w:val="Compact"/>
              <w:jc w:val="left"/>
            </w:pPr>
            <w:r>
              <w:t xml:space="preserve">22.27</w:t>
            </w:r>
          </w:p>
        </w:tc>
        <w:tc>
          <w:tcPr/>
          <w:p>
            <w:pPr>
              <w:pStyle w:val="Compact"/>
              <w:jc w:val="left"/>
            </w:pPr>
            <w:r>
              <w:t xml:space="preserve">22.87</w:t>
            </w:r>
          </w:p>
        </w:tc>
        <w:tc>
          <w:tcPr/>
          <w:p>
            <w:pPr>
              <w:pStyle w:val="Compact"/>
              <w:jc w:val="left"/>
            </w:pPr>
            <w:r>
              <w:t xml:space="preserve">0.12</w:t>
            </w:r>
          </w:p>
        </w:tc>
        <w:tc>
          <w:tcPr/>
          <w:p>
            <w:pPr>
              <w:pStyle w:val="Compact"/>
              <w:jc w:val="left"/>
            </w:pPr>
            <w:r>
              <w:t xml:space="preserve">0.12</w:t>
            </w:r>
          </w:p>
        </w:tc>
      </w:tr>
      <w:tr>
        <w:tc>
          <w:tcPr/>
          <w:p>
            <w:pPr>
              <w:pStyle w:val="Compact"/>
              <w:jc w:val="left"/>
            </w:pPr>
            <w:r>
              <w:t xml:space="preserve">1994</w:t>
            </w:r>
          </w:p>
        </w:tc>
        <w:tc>
          <w:tcPr/>
          <w:p>
            <w:pPr>
              <w:pStyle w:val="Compact"/>
              <w:jc w:val="left"/>
            </w:pPr>
            <w:r>
              <w:t xml:space="preserve">34.16</w:t>
            </w:r>
          </w:p>
        </w:tc>
        <w:tc>
          <w:tcPr/>
          <w:p>
            <w:pPr>
              <w:pStyle w:val="Compact"/>
              <w:jc w:val="left"/>
            </w:pPr>
            <w:r>
              <w:t xml:space="preserve">0.7</w:t>
            </w:r>
          </w:p>
        </w:tc>
        <w:tc>
          <w:tcPr/>
          <w:p>
            <w:pPr>
              <w:pStyle w:val="Compact"/>
              <w:jc w:val="left"/>
            </w:pPr>
            <w:r>
              <w:t xml:space="preserve">7.78</w:t>
            </w:r>
          </w:p>
        </w:tc>
        <w:tc>
          <w:tcPr/>
          <w:p>
            <w:pPr>
              <w:pStyle w:val="Compact"/>
              <w:jc w:val="left"/>
            </w:pPr>
            <w:r>
              <w:t xml:space="preserve">8.08</w:t>
            </w:r>
          </w:p>
        </w:tc>
        <w:tc>
          <w:tcPr/>
          <w:p>
            <w:pPr>
              <w:pStyle w:val="Compact"/>
              <w:jc w:val="left"/>
            </w:pPr>
            <w:r>
              <w:t xml:space="preserve">0.08</w:t>
            </w:r>
          </w:p>
        </w:tc>
        <w:tc>
          <w:tcPr/>
          <w:p>
            <w:pPr>
              <w:pStyle w:val="Compact"/>
              <w:jc w:val="left"/>
            </w:pPr>
            <w:r>
              <w:t xml:space="preserve">0.08</w:t>
            </w:r>
          </w:p>
        </w:tc>
      </w:tr>
      <w:tr>
        <w:tc>
          <w:tcPr/>
          <w:p>
            <w:pPr>
              <w:pStyle w:val="Compact"/>
              <w:jc w:val="left"/>
            </w:pPr>
            <w:r>
              <w:t xml:space="preserve">1995</w:t>
            </w:r>
          </w:p>
        </w:tc>
        <w:tc>
          <w:tcPr/>
          <w:p>
            <w:pPr>
              <w:pStyle w:val="Compact"/>
              <w:jc w:val="left"/>
            </w:pPr>
            <w:r>
              <w:t xml:space="preserve">29.8</w:t>
            </w:r>
          </w:p>
        </w:tc>
        <w:tc>
          <w:tcPr/>
          <w:p>
            <w:pPr>
              <w:pStyle w:val="Compact"/>
              <w:jc w:val="left"/>
            </w:pPr>
            <w:r>
              <w:t xml:space="preserve">1.04</w:t>
            </w:r>
          </w:p>
        </w:tc>
        <w:tc>
          <w:tcPr/>
          <w:p>
            <w:pPr>
              <w:pStyle w:val="Compact"/>
              <w:jc w:val="left"/>
            </w:pPr>
            <w:r>
              <w:t xml:space="preserve">14.73</w:t>
            </w:r>
          </w:p>
        </w:tc>
        <w:tc>
          <w:tcPr/>
          <w:p>
            <w:pPr>
              <w:pStyle w:val="Compact"/>
              <w:jc w:val="left"/>
            </w:pPr>
            <w:r>
              <w:t xml:space="preserve">16.54</w:t>
            </w:r>
          </w:p>
        </w:tc>
        <w:tc>
          <w:tcPr/>
          <w:p>
            <w:pPr>
              <w:pStyle w:val="Compact"/>
              <w:jc w:val="left"/>
            </w:pPr>
            <w:r>
              <w:t xml:space="preserve">0.02</w:t>
            </w:r>
          </w:p>
        </w:tc>
        <w:tc>
          <w:tcPr/>
          <w:p>
            <w:pPr>
              <w:pStyle w:val="Compact"/>
              <w:jc w:val="left"/>
            </w:pPr>
            <w:r>
              <w:t xml:space="preserve">0.03</w:t>
            </w:r>
          </w:p>
        </w:tc>
      </w:tr>
      <w:tr>
        <w:tc>
          <w:tcPr/>
          <w:p>
            <w:pPr>
              <w:pStyle w:val="Compact"/>
              <w:jc w:val="left"/>
            </w:pPr>
            <w:r>
              <w:t xml:space="preserve">1996</w:t>
            </w:r>
          </w:p>
        </w:tc>
        <w:tc>
          <w:tcPr/>
          <w:p>
            <w:pPr>
              <w:pStyle w:val="Compact"/>
              <w:jc w:val="left"/>
            </w:pPr>
            <w:r>
              <w:t xml:space="preserve">54.24</w:t>
            </w:r>
          </w:p>
        </w:tc>
        <w:tc>
          <w:tcPr/>
          <w:p>
            <w:pPr>
              <w:pStyle w:val="Compact"/>
              <w:jc w:val="left"/>
            </w:pPr>
            <w:r>
              <w:t xml:space="preserve">1.22</w:t>
            </w:r>
          </w:p>
        </w:tc>
        <w:tc>
          <w:tcPr/>
          <w:p>
            <w:pPr>
              <w:pStyle w:val="Compact"/>
              <w:jc w:val="left"/>
            </w:pPr>
            <w:r>
              <w:t xml:space="preserve">23.23</w:t>
            </w:r>
          </w:p>
        </w:tc>
        <w:tc>
          <w:tcPr/>
          <w:p>
            <w:pPr>
              <w:pStyle w:val="Compact"/>
              <w:jc w:val="left"/>
            </w:pPr>
            <w:r>
              <w:t xml:space="preserve">27.49</w:t>
            </w:r>
          </w:p>
        </w:tc>
        <w:tc>
          <w:tcPr/>
          <w:p>
            <w:pPr>
              <w:pStyle w:val="Compact"/>
              <w:jc w:val="left"/>
            </w:pPr>
            <w:r>
              <w:t xml:space="preserve">0.1</w:t>
            </w:r>
          </w:p>
        </w:tc>
        <w:tc>
          <w:tcPr/>
          <w:p>
            <w:pPr>
              <w:pStyle w:val="Compact"/>
              <w:jc w:val="left"/>
            </w:pPr>
            <w:r>
              <w:t xml:space="preserve">0.11</w:t>
            </w:r>
          </w:p>
        </w:tc>
      </w:tr>
      <w:tr>
        <w:tc>
          <w:tcPr/>
          <w:p>
            <w:pPr>
              <w:pStyle w:val="Compact"/>
              <w:jc w:val="left"/>
            </w:pPr>
            <w:r>
              <w:t xml:space="preserve">1997</w:t>
            </w:r>
          </w:p>
        </w:tc>
        <w:tc>
          <w:tcPr/>
          <w:p>
            <w:pPr>
              <w:pStyle w:val="Compact"/>
              <w:jc w:val="left"/>
            </w:pPr>
            <w:r>
              <w:t xml:space="preserve">110.4</w:t>
            </w:r>
          </w:p>
        </w:tc>
        <w:tc>
          <w:tcPr/>
          <w:p>
            <w:pPr>
              <w:pStyle w:val="Compact"/>
              <w:jc w:val="left"/>
            </w:pPr>
            <w:r>
              <w:t xml:space="preserve">0.73</w:t>
            </w:r>
          </w:p>
        </w:tc>
        <w:tc>
          <w:tcPr/>
          <w:p>
            <w:pPr>
              <w:pStyle w:val="Compact"/>
              <w:jc w:val="left"/>
            </w:pPr>
            <w:r>
              <w:t xml:space="preserve">7.1</w:t>
            </w:r>
          </w:p>
        </w:tc>
        <w:tc>
          <w:tcPr/>
          <w:p>
            <w:pPr>
              <w:pStyle w:val="Compact"/>
              <w:jc w:val="left"/>
            </w:pPr>
            <w:r>
              <w:t xml:space="preserve">26.23</w:t>
            </w:r>
          </w:p>
        </w:tc>
        <w:tc>
          <w:tcPr/>
          <w:p>
            <w:pPr>
              <w:pStyle w:val="Compact"/>
              <w:jc w:val="left"/>
            </w:pPr>
            <w:r>
              <w:t xml:space="preserve">0.1</w:t>
            </w:r>
          </w:p>
        </w:tc>
        <w:tc>
          <w:tcPr/>
          <w:p>
            <w:pPr>
              <w:pStyle w:val="Compact"/>
              <w:jc w:val="left"/>
            </w:pPr>
            <w:r>
              <w:t xml:space="preserve">0.12</w:t>
            </w:r>
          </w:p>
        </w:tc>
      </w:tr>
      <w:tr>
        <w:tc>
          <w:tcPr/>
          <w:p>
            <w:pPr>
              <w:pStyle w:val="Compact"/>
              <w:jc w:val="left"/>
            </w:pPr>
            <w:r>
              <w:t xml:space="preserve">1998</w:t>
            </w:r>
          </w:p>
        </w:tc>
        <w:tc>
          <w:tcPr/>
          <w:p>
            <w:pPr>
              <w:pStyle w:val="Compact"/>
              <w:jc w:val="left"/>
            </w:pPr>
            <w:r>
              <w:t xml:space="preserve">88.15</w:t>
            </w:r>
          </w:p>
        </w:tc>
        <w:tc>
          <w:tcPr/>
          <w:p>
            <w:pPr>
              <w:pStyle w:val="Compact"/>
              <w:jc w:val="left"/>
            </w:pPr>
            <w:r>
              <w:t xml:space="preserve">0.58</w:t>
            </w:r>
          </w:p>
        </w:tc>
        <w:tc>
          <w:tcPr/>
          <w:p>
            <w:pPr>
              <w:pStyle w:val="Compact"/>
              <w:jc w:val="left"/>
            </w:pPr>
            <w:r>
              <w:t xml:space="preserve">19.5</w:t>
            </w:r>
          </w:p>
        </w:tc>
        <w:tc>
          <w:tcPr/>
          <w:p>
            <w:pPr>
              <w:pStyle w:val="Compact"/>
              <w:jc w:val="left"/>
            </w:pPr>
            <w:r>
              <w:t xml:space="preserve">14.64</w:t>
            </w:r>
          </w:p>
        </w:tc>
        <w:tc>
          <w:tcPr/>
          <w:p>
            <w:pPr>
              <w:pStyle w:val="Compact"/>
              <w:jc w:val="left"/>
            </w:pPr>
            <w:r>
              <w:t xml:space="preserve">0.01</w:t>
            </w:r>
          </w:p>
        </w:tc>
        <w:tc>
          <w:tcPr/>
          <w:p>
            <w:pPr>
              <w:pStyle w:val="Compact"/>
              <w:jc w:val="left"/>
            </w:pPr>
            <w:r>
              <w:t xml:space="preserve">0.02</w:t>
            </w:r>
          </w:p>
        </w:tc>
      </w:tr>
      <w:tr>
        <w:tc>
          <w:tcPr/>
          <w:p>
            <w:pPr>
              <w:pStyle w:val="Compact"/>
              <w:jc w:val="left"/>
            </w:pPr>
            <w:r>
              <w:t xml:space="preserve">1999</w:t>
            </w:r>
          </w:p>
        </w:tc>
        <w:tc>
          <w:tcPr/>
          <w:p>
            <w:pPr>
              <w:pStyle w:val="Compact"/>
              <w:jc w:val="left"/>
            </w:pPr>
            <w:r>
              <w:t xml:space="preserve">15.1</w:t>
            </w:r>
          </w:p>
        </w:tc>
        <w:tc>
          <w:tcPr/>
          <w:p>
            <w:pPr>
              <w:pStyle w:val="Compact"/>
              <w:jc w:val="left"/>
            </w:pPr>
            <w:r>
              <w:t xml:space="preserve">0.24</w:t>
            </w:r>
          </w:p>
        </w:tc>
        <w:tc>
          <w:tcPr/>
          <w:p>
            <w:pPr>
              <w:pStyle w:val="Compact"/>
              <w:jc w:val="left"/>
            </w:pPr>
            <w:r>
              <w:t xml:space="preserve">4.13</w:t>
            </w:r>
          </w:p>
        </w:tc>
        <w:tc>
          <w:tcPr/>
          <w:p>
            <w:pPr>
              <w:pStyle w:val="Compact"/>
              <w:jc w:val="left"/>
            </w:pPr>
            <w:r>
              <w:t xml:space="preserve">5.32</w:t>
            </w:r>
          </w:p>
        </w:tc>
        <w:tc>
          <w:tcPr/>
          <w:p>
            <w:pPr>
              <w:pStyle w:val="Compact"/>
              <w:jc w:val="left"/>
            </w:pPr>
            <w:r>
              <w:t xml:space="preserve">0.01</w:t>
            </w:r>
          </w:p>
        </w:tc>
        <w:tc>
          <w:tcPr/>
          <w:p>
            <w:pPr>
              <w:pStyle w:val="Compact"/>
              <w:jc w:val="left"/>
            </w:pPr>
            <w:r>
              <w:t xml:space="preserve">0.01</w:t>
            </w:r>
          </w:p>
        </w:tc>
      </w:tr>
      <w:tr>
        <w:tc>
          <w:tcPr/>
          <w:p>
            <w:pPr>
              <w:pStyle w:val="Compact"/>
              <w:jc w:val="left"/>
            </w:pPr>
            <w:r>
              <w:t xml:space="preserve">2000</w:t>
            </w:r>
          </w:p>
        </w:tc>
        <w:tc>
          <w:tcPr/>
          <w:p>
            <w:pPr>
              <w:pStyle w:val="Compact"/>
              <w:jc w:val="left"/>
            </w:pPr>
            <w:r>
              <w:t xml:space="preserve">11.46</w:t>
            </w:r>
          </w:p>
        </w:tc>
        <w:tc>
          <w:tcPr/>
          <w:p>
            <w:pPr>
              <w:pStyle w:val="Compact"/>
              <w:jc w:val="left"/>
            </w:pPr>
            <w:r>
              <w:t xml:space="preserve">0.25</w:t>
            </w:r>
          </w:p>
        </w:tc>
        <w:tc>
          <w:tcPr/>
          <w:p>
            <w:pPr>
              <w:pStyle w:val="Compact"/>
              <w:jc w:val="left"/>
            </w:pPr>
            <w:r>
              <w:t xml:space="preserve">3.25</w:t>
            </w:r>
          </w:p>
        </w:tc>
        <w:tc>
          <w:tcPr/>
          <w:p>
            <w:pPr>
              <w:pStyle w:val="Compact"/>
              <w:jc w:val="left"/>
            </w:pPr>
            <w:r>
              <w:t xml:space="preserve">4.03</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2001</w:t>
            </w:r>
          </w:p>
        </w:tc>
        <w:tc>
          <w:tcPr/>
          <w:p>
            <w:pPr>
              <w:pStyle w:val="Compact"/>
              <w:jc w:val="left"/>
            </w:pPr>
            <w:r>
              <w:t xml:space="preserve">14.8</w:t>
            </w:r>
          </w:p>
        </w:tc>
        <w:tc>
          <w:tcPr/>
          <w:p>
            <w:pPr>
              <w:pStyle w:val="Compact"/>
              <w:jc w:val="left"/>
            </w:pPr>
            <w:r>
              <w:t xml:space="preserve">0.18</w:t>
            </w:r>
          </w:p>
        </w:tc>
        <w:tc>
          <w:tcPr/>
          <w:p>
            <w:pPr>
              <w:pStyle w:val="Compact"/>
              <w:jc w:val="left"/>
            </w:pPr>
            <w:r>
              <w:t xml:space="preserve">3.98</w:t>
            </w:r>
          </w:p>
        </w:tc>
        <w:tc>
          <w:tcPr/>
          <w:p>
            <w:pPr>
              <w:pStyle w:val="Compact"/>
              <w:jc w:val="left"/>
            </w:pPr>
            <w:r>
              <w:t xml:space="preserve">6.64</w:t>
            </w:r>
          </w:p>
        </w:tc>
        <w:tc>
          <w:tcPr/>
          <w:p>
            <w:pPr>
              <w:pStyle w:val="Compact"/>
              <w:jc w:val="left"/>
            </w:pPr>
            <w:r>
              <w:t xml:space="preserve">0.02</w:t>
            </w:r>
          </w:p>
        </w:tc>
        <w:tc>
          <w:tcPr/>
          <w:p>
            <w:pPr>
              <w:pStyle w:val="Compact"/>
              <w:jc w:val="left"/>
            </w:pPr>
            <w:r>
              <w:t xml:space="preserve">0.02</w:t>
            </w:r>
          </w:p>
        </w:tc>
      </w:tr>
      <w:tr>
        <w:tc>
          <w:tcPr/>
          <w:p>
            <w:pPr>
              <w:pStyle w:val="Compact"/>
              <w:jc w:val="left"/>
            </w:pPr>
            <w:r>
              <w:t xml:space="preserve">2002</w:t>
            </w:r>
          </w:p>
        </w:tc>
        <w:tc>
          <w:tcPr/>
          <w:p>
            <w:pPr>
              <w:pStyle w:val="Compact"/>
              <w:jc w:val="left"/>
            </w:pPr>
            <w:r>
              <w:t xml:space="preserve">12.84</w:t>
            </w:r>
          </w:p>
        </w:tc>
        <w:tc>
          <w:tcPr/>
          <w:p>
            <w:pPr>
              <w:pStyle w:val="Compact"/>
              <w:jc w:val="left"/>
            </w:pPr>
            <w:r>
              <w:t xml:space="preserve">0.1</w:t>
            </w:r>
          </w:p>
        </w:tc>
        <w:tc>
          <w:tcPr/>
          <w:p>
            <w:pPr>
              <w:pStyle w:val="Compact"/>
              <w:jc w:val="left"/>
            </w:pPr>
            <w:r>
              <w:t xml:space="preserve">4.5</w:t>
            </w:r>
          </w:p>
        </w:tc>
        <w:tc>
          <w:tcPr/>
          <w:p>
            <w:pPr>
              <w:pStyle w:val="Compact"/>
              <w:jc w:val="left"/>
            </w:pPr>
            <w:r>
              <w:t xml:space="preserve">4.75</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2003</w:t>
            </w:r>
          </w:p>
        </w:tc>
        <w:tc>
          <w:tcPr/>
          <w:p>
            <w:pPr>
              <w:pStyle w:val="Compact"/>
              <w:jc w:val="left"/>
            </w:pPr>
            <w:r>
              <w:t xml:space="preserve">10.86</w:t>
            </w:r>
          </w:p>
        </w:tc>
        <w:tc>
          <w:tcPr/>
          <w:p>
            <w:pPr>
              <w:pStyle w:val="Compact"/>
              <w:jc w:val="left"/>
            </w:pPr>
            <w:r>
              <w:t xml:space="preserve">0.14</w:t>
            </w:r>
          </w:p>
        </w:tc>
        <w:tc>
          <w:tcPr/>
          <w:p>
            <w:pPr>
              <w:pStyle w:val="Compact"/>
              <w:jc w:val="left"/>
            </w:pPr>
            <w:r>
              <w:t xml:space="preserve">2.4</w:t>
            </w:r>
          </w:p>
        </w:tc>
        <w:tc>
          <w:tcPr/>
          <w:p>
            <w:pPr>
              <w:pStyle w:val="Compact"/>
              <w:jc w:val="left"/>
            </w:pPr>
            <w:r>
              <w:t xml:space="preserve">0.08</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2004</w:t>
            </w:r>
          </w:p>
        </w:tc>
        <w:tc>
          <w:tcPr/>
          <w:p>
            <w:pPr>
              <w:pStyle w:val="Compact"/>
              <w:jc w:val="left"/>
            </w:pPr>
            <w:r>
              <w:t xml:space="preserve">11.29</w:t>
            </w:r>
          </w:p>
        </w:tc>
        <w:tc>
          <w:tcPr/>
          <w:p>
            <w:pPr>
              <w:pStyle w:val="Compact"/>
              <w:jc w:val="left"/>
            </w:pPr>
            <w:r>
              <w:t xml:space="preserve">0.18</w:t>
            </w:r>
          </w:p>
        </w:tc>
        <w:tc>
          <w:tcPr/>
          <w:p>
            <w:pPr>
              <w:pStyle w:val="Compact"/>
              <w:jc w:val="left"/>
            </w:pPr>
            <w:r>
              <w:t xml:space="preserve">3.58</w:t>
            </w:r>
          </w:p>
        </w:tc>
        <w:tc>
          <w:tcPr/>
          <w:p>
            <w:pPr>
              <w:pStyle w:val="Compact"/>
              <w:jc w:val="left"/>
            </w:pPr>
            <w:r>
              <w:t xml:space="preserve">3.83</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2005</w:t>
            </w:r>
          </w:p>
        </w:tc>
        <w:tc>
          <w:tcPr/>
          <w:p>
            <w:pPr>
              <w:pStyle w:val="Compact"/>
              <w:jc w:val="left"/>
            </w:pPr>
            <w:r>
              <w:t xml:space="preserve">16.77</w:t>
            </w:r>
          </w:p>
        </w:tc>
        <w:tc>
          <w:tcPr/>
          <w:p>
            <w:pPr>
              <w:pStyle w:val="Compact"/>
              <w:jc w:val="left"/>
            </w:pPr>
            <w:r>
              <w:t xml:space="preserve">0.19</w:t>
            </w:r>
          </w:p>
        </w:tc>
        <w:tc>
          <w:tcPr/>
          <w:p>
            <w:pPr>
              <w:pStyle w:val="Compact"/>
              <w:jc w:val="left"/>
            </w:pPr>
            <w:r>
              <w:t xml:space="preserve">0.62</w:t>
            </w:r>
          </w:p>
        </w:tc>
        <w:tc>
          <w:tcPr/>
          <w:p>
            <w:pPr>
              <w:pStyle w:val="Compact"/>
              <w:jc w:val="left"/>
            </w:pPr>
            <w:r>
              <w:t xml:space="preserve">0.73</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2006</w:t>
            </w:r>
          </w:p>
        </w:tc>
        <w:tc>
          <w:tcPr/>
          <w:p>
            <w:pPr>
              <w:pStyle w:val="Compact"/>
              <w:jc w:val="left"/>
            </w:pPr>
            <w:r>
              <w:t xml:space="preserve">16.49</w:t>
            </w:r>
          </w:p>
        </w:tc>
        <w:tc>
          <w:tcPr/>
          <w:p>
            <w:pPr>
              <w:pStyle w:val="Compact"/>
              <w:jc w:val="left"/>
            </w:pPr>
            <w:r>
              <w:t xml:space="preserve">0.36</w:t>
            </w:r>
          </w:p>
        </w:tc>
        <w:tc>
          <w:tcPr/>
          <w:p>
            <w:pPr>
              <w:pStyle w:val="Compact"/>
              <w:jc w:val="left"/>
            </w:pPr>
            <w:r>
              <w:t xml:space="preserve">4.17</w:t>
            </w:r>
          </w:p>
        </w:tc>
        <w:tc>
          <w:tcPr/>
          <w:p>
            <w:pPr>
              <w:pStyle w:val="Compact"/>
              <w:jc w:val="left"/>
            </w:pPr>
            <w:r>
              <w:t xml:space="preserve">4.24</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2007</w:t>
            </w:r>
          </w:p>
        </w:tc>
        <w:tc>
          <w:tcPr/>
          <w:p>
            <w:pPr>
              <w:pStyle w:val="Compact"/>
              <w:jc w:val="left"/>
            </w:pPr>
            <w:r>
              <w:t xml:space="preserve">28.59</w:t>
            </w:r>
          </w:p>
        </w:tc>
        <w:tc>
          <w:tcPr/>
          <w:p>
            <w:pPr>
              <w:pStyle w:val="Compact"/>
              <w:jc w:val="left"/>
            </w:pPr>
            <w:r>
              <w:t xml:space="preserve">0.31</w:t>
            </w:r>
          </w:p>
        </w:tc>
        <w:tc>
          <w:tcPr/>
          <w:p>
            <w:pPr>
              <w:pStyle w:val="Compact"/>
              <w:jc w:val="left"/>
            </w:pPr>
            <w:r>
              <w:t xml:space="preserve">5.77</w:t>
            </w:r>
          </w:p>
        </w:tc>
        <w:tc>
          <w:tcPr/>
          <w:p>
            <w:pPr>
              <w:pStyle w:val="Compact"/>
              <w:jc w:val="left"/>
            </w:pPr>
            <w:r>
              <w:t xml:space="preserve">5.81</w:t>
            </w:r>
          </w:p>
        </w:tc>
        <w:tc>
          <w:tcPr/>
          <w:p>
            <w:pPr>
              <w:pStyle w:val="Compact"/>
              <w:jc w:val="left"/>
            </w:pPr>
            <w:r>
              <w:t xml:space="preserve">0.02</w:t>
            </w:r>
          </w:p>
        </w:tc>
        <w:tc>
          <w:tcPr/>
          <w:p>
            <w:pPr>
              <w:pStyle w:val="Compact"/>
              <w:jc w:val="left"/>
            </w:pPr>
            <w:r>
              <w:t xml:space="preserve">0.02</w:t>
            </w:r>
          </w:p>
        </w:tc>
      </w:tr>
      <w:tr>
        <w:tc>
          <w:tcPr/>
          <w:p>
            <w:pPr>
              <w:pStyle w:val="Compact"/>
              <w:jc w:val="left"/>
            </w:pPr>
            <w:r>
              <w:t xml:space="preserve">2008</w:t>
            </w:r>
          </w:p>
        </w:tc>
        <w:tc>
          <w:tcPr/>
          <w:p>
            <w:pPr>
              <w:pStyle w:val="Compact"/>
              <w:jc w:val="left"/>
            </w:pPr>
            <w:r>
              <w:t xml:space="preserve">26.56</w:t>
            </w:r>
          </w:p>
        </w:tc>
        <w:tc>
          <w:tcPr/>
          <w:p>
            <w:pPr>
              <w:pStyle w:val="Compact"/>
              <w:jc w:val="left"/>
            </w:pPr>
            <w:r>
              <w:t xml:space="preserve">0.19</w:t>
            </w:r>
          </w:p>
        </w:tc>
        <w:tc>
          <w:tcPr/>
          <w:p>
            <w:pPr>
              <w:pStyle w:val="Compact"/>
              <w:jc w:val="left"/>
            </w:pPr>
            <w:r>
              <w:t xml:space="preserve">5.11</w:t>
            </w:r>
          </w:p>
        </w:tc>
        <w:tc>
          <w:tcPr/>
          <w:p>
            <w:pPr>
              <w:pStyle w:val="Compact"/>
              <w:jc w:val="left"/>
            </w:pPr>
            <w:r>
              <w:t xml:space="preserve">5.33</w:t>
            </w:r>
          </w:p>
        </w:tc>
        <w:tc>
          <w:tcPr/>
          <w:p>
            <w:pPr>
              <w:pStyle w:val="Compact"/>
              <w:jc w:val="left"/>
            </w:pPr>
            <w:r>
              <w:t xml:space="preserve">0.02</w:t>
            </w:r>
          </w:p>
        </w:tc>
        <w:tc>
          <w:tcPr/>
          <w:p>
            <w:pPr>
              <w:pStyle w:val="Compact"/>
              <w:jc w:val="left"/>
            </w:pPr>
            <w:r>
              <w:t xml:space="preserve">0.02</w:t>
            </w:r>
          </w:p>
        </w:tc>
      </w:tr>
      <w:tr>
        <w:tc>
          <w:tcPr/>
          <w:p>
            <w:pPr>
              <w:pStyle w:val="Compact"/>
              <w:jc w:val="left"/>
            </w:pPr>
            <w:r>
              <w:t xml:space="preserve">2009</w:t>
            </w:r>
          </w:p>
        </w:tc>
        <w:tc>
          <w:tcPr/>
          <w:p>
            <w:pPr>
              <w:pStyle w:val="Compact"/>
              <w:jc w:val="left"/>
            </w:pPr>
            <w:r>
              <w:t xml:space="preserve">21.78</w:t>
            </w:r>
          </w:p>
        </w:tc>
        <w:tc>
          <w:tcPr/>
          <w:p>
            <w:pPr>
              <w:pStyle w:val="Compact"/>
              <w:jc w:val="left"/>
            </w:pPr>
            <w:r>
              <w:t xml:space="preserve">0.39</w:t>
            </w:r>
          </w:p>
        </w:tc>
        <w:tc>
          <w:tcPr/>
          <w:p>
            <w:pPr>
              <w:pStyle w:val="Compact"/>
              <w:jc w:val="left"/>
            </w:pPr>
            <w:r>
              <w:t xml:space="preserve">4.28</w:t>
            </w:r>
          </w:p>
        </w:tc>
        <w:tc>
          <w:tcPr/>
          <w:p>
            <w:pPr>
              <w:pStyle w:val="Compact"/>
              <w:jc w:val="left"/>
            </w:pPr>
            <w:r>
              <w:t xml:space="preserve">4.39</w:t>
            </w:r>
          </w:p>
        </w:tc>
        <w:tc>
          <w:tcPr/>
          <w:p>
            <w:pPr>
              <w:pStyle w:val="Compact"/>
              <w:jc w:val="left"/>
            </w:pPr>
            <w:r>
              <w:t xml:space="preserve">0.01</w:t>
            </w:r>
          </w:p>
        </w:tc>
        <w:tc>
          <w:tcPr/>
          <w:p>
            <w:pPr>
              <w:pStyle w:val="Compact"/>
              <w:jc w:val="left"/>
            </w:pPr>
            <w:r>
              <w:t xml:space="preserve">0.01</w:t>
            </w:r>
          </w:p>
        </w:tc>
      </w:tr>
      <w:tr>
        <w:tc>
          <w:tcPr/>
          <w:p>
            <w:pPr>
              <w:pStyle w:val="Compact"/>
              <w:jc w:val="left"/>
            </w:pPr>
            <w:r>
              <w:t xml:space="preserve">2010</w:t>
            </w:r>
          </w:p>
        </w:tc>
        <w:tc>
          <w:tcPr/>
          <w:p>
            <w:pPr>
              <w:pStyle w:val="Compact"/>
              <w:jc w:val="left"/>
            </w:pPr>
            <w:r>
              <w:t xml:space="preserve">24.61</w:t>
            </w:r>
          </w:p>
        </w:tc>
        <w:tc>
          <w:tcPr/>
          <w:p>
            <w:pPr>
              <w:pStyle w:val="Compact"/>
              <w:jc w:val="left"/>
            </w:pPr>
            <w:r>
              <w:t xml:space="preserve">0.14</w:t>
            </w:r>
          </w:p>
        </w:tc>
        <w:tc>
          <w:tcPr/>
          <w:p>
            <w:pPr>
              <w:pStyle w:val="Compact"/>
              <w:jc w:val="left"/>
            </w:pPr>
            <w:r>
              <w:t xml:space="preserve">4.47</w:t>
            </w:r>
          </w:p>
        </w:tc>
        <w:tc>
          <w:tcPr/>
          <w:p>
            <w:pPr>
              <w:pStyle w:val="Compact"/>
              <w:jc w:val="left"/>
            </w:pPr>
            <w:r>
              <w:t xml:space="preserve">4.61</w:t>
            </w:r>
          </w:p>
        </w:tc>
        <w:tc>
          <w:tcPr/>
          <w:p>
            <w:pPr>
              <w:pStyle w:val="Compact"/>
              <w:jc w:val="left"/>
            </w:pPr>
            <w:r>
              <w:t xml:space="preserve">0.01</w:t>
            </w:r>
          </w:p>
        </w:tc>
        <w:tc>
          <w:tcPr/>
          <w:p>
            <w:pPr>
              <w:pStyle w:val="Compact"/>
              <w:jc w:val="left"/>
            </w:pPr>
            <w:r>
              <w:t xml:space="preserve">0.01</w:t>
            </w:r>
          </w:p>
        </w:tc>
      </w:tr>
      <w:tr>
        <w:tc>
          <w:tcPr/>
          <w:p>
            <w:pPr>
              <w:pStyle w:val="Compact"/>
              <w:jc w:val="left"/>
            </w:pPr>
            <w:r>
              <w:t xml:space="preserve">2011</w:t>
            </w:r>
          </w:p>
        </w:tc>
        <w:tc>
          <w:tcPr/>
          <w:p>
            <w:pPr>
              <w:pStyle w:val="Compact"/>
              <w:jc w:val="left"/>
            </w:pPr>
            <w:r>
              <w:t xml:space="preserve">40.29</w:t>
            </w:r>
          </w:p>
        </w:tc>
        <w:tc>
          <w:tcPr/>
          <w:p>
            <w:pPr>
              <w:pStyle w:val="Compact"/>
              <w:jc w:val="left"/>
            </w:pPr>
            <w:r>
              <w:t xml:space="preserve">0.14</w:t>
            </w:r>
          </w:p>
        </w:tc>
        <w:tc>
          <w:tcPr/>
          <w:p>
            <w:pPr>
              <w:pStyle w:val="Compact"/>
              <w:jc w:val="left"/>
            </w:pPr>
            <w:r>
              <w:t xml:space="preserve">3.73</w:t>
            </w:r>
          </w:p>
        </w:tc>
        <w:tc>
          <w:tcPr/>
          <w:p>
            <w:pPr>
              <w:pStyle w:val="Compact"/>
              <w:jc w:val="left"/>
            </w:pPr>
            <w:r>
              <w:t xml:space="preserve">3.88</w:t>
            </w:r>
          </w:p>
        </w:tc>
        <w:tc>
          <w:tcPr/>
          <w:p>
            <w:pPr>
              <w:pStyle w:val="Compact"/>
              <w:jc w:val="left"/>
            </w:pPr>
            <w:r>
              <w:t xml:space="preserve">0.19</w:t>
            </w:r>
          </w:p>
        </w:tc>
        <w:tc>
          <w:tcPr/>
          <w:p>
            <w:pPr>
              <w:pStyle w:val="Compact"/>
              <w:jc w:val="left"/>
            </w:pPr>
            <w:r>
              <w:t xml:space="preserve">0.19</w:t>
            </w:r>
          </w:p>
        </w:tc>
      </w:tr>
      <w:tr>
        <w:tc>
          <w:tcPr/>
          <w:p>
            <w:pPr>
              <w:pStyle w:val="Compact"/>
              <w:jc w:val="left"/>
            </w:pPr>
            <w:r>
              <w:t xml:space="preserve">2012</w:t>
            </w:r>
          </w:p>
        </w:tc>
        <w:tc>
          <w:tcPr/>
          <w:p>
            <w:pPr>
              <w:pStyle w:val="Compact"/>
              <w:jc w:val="left"/>
            </w:pPr>
            <w:r>
              <w:t xml:space="preserve">30.05</w:t>
            </w:r>
          </w:p>
        </w:tc>
        <w:tc>
          <w:tcPr/>
          <w:p>
            <w:pPr>
              <w:pStyle w:val="Compact"/>
              <w:jc w:val="left"/>
            </w:pPr>
            <w:r>
              <w:t xml:space="preserve">0.15</w:t>
            </w:r>
          </w:p>
        </w:tc>
        <w:tc>
          <w:tcPr/>
          <w:p>
            <w:pPr>
              <w:pStyle w:val="Compact"/>
              <w:jc w:val="left"/>
            </w:pPr>
            <w:r>
              <w:t xml:space="preserve">5.53</w:t>
            </w:r>
          </w:p>
        </w:tc>
        <w:tc>
          <w:tcPr/>
          <w:p>
            <w:pPr>
              <w:pStyle w:val="Compact"/>
              <w:jc w:val="left"/>
            </w:pPr>
            <w:r>
              <w:t xml:space="preserve">5.7</w:t>
            </w:r>
          </w:p>
        </w:tc>
        <w:tc>
          <w:tcPr/>
          <w:p>
            <w:pPr>
              <w:pStyle w:val="Compact"/>
              <w:jc w:val="left"/>
            </w:pPr>
            <w:r>
              <w:t xml:space="preserve">0.06</w:t>
            </w:r>
          </w:p>
        </w:tc>
        <w:tc>
          <w:tcPr/>
          <w:p>
            <w:pPr>
              <w:pStyle w:val="Compact"/>
              <w:jc w:val="left"/>
            </w:pPr>
            <w:r>
              <w:t xml:space="preserve">0.06</w:t>
            </w:r>
          </w:p>
        </w:tc>
      </w:tr>
      <w:tr>
        <w:tc>
          <w:tcPr/>
          <w:p>
            <w:pPr>
              <w:pStyle w:val="Compact"/>
              <w:jc w:val="left"/>
            </w:pPr>
            <w:r>
              <w:t xml:space="preserve">2013</w:t>
            </w:r>
          </w:p>
        </w:tc>
        <w:tc>
          <w:tcPr/>
          <w:p>
            <w:pPr>
              <w:pStyle w:val="Compact"/>
              <w:jc w:val="left"/>
            </w:pPr>
            <w:r>
              <w:t xml:space="preserve">24.49</w:t>
            </w:r>
          </w:p>
        </w:tc>
        <w:tc>
          <w:tcPr/>
          <w:p>
            <w:pPr>
              <w:pStyle w:val="Compact"/>
              <w:jc w:val="left"/>
            </w:pPr>
            <w:r>
              <w:t xml:space="preserve">0.16</w:t>
            </w:r>
          </w:p>
        </w:tc>
        <w:tc>
          <w:tcPr/>
          <w:p>
            <w:pPr>
              <w:pStyle w:val="Compact"/>
              <w:jc w:val="left"/>
            </w:pPr>
            <w:r>
              <w:t xml:space="preserve">10.61</w:t>
            </w:r>
          </w:p>
        </w:tc>
        <w:tc>
          <w:tcPr/>
          <w:p>
            <w:pPr>
              <w:pStyle w:val="Compact"/>
              <w:jc w:val="left"/>
            </w:pPr>
            <w:r>
              <w:t xml:space="preserve">10.72</w:t>
            </w:r>
          </w:p>
        </w:tc>
        <w:tc>
          <w:tcPr/>
          <w:p>
            <w:pPr>
              <w:pStyle w:val="Compact"/>
              <w:jc w:val="left"/>
            </w:pPr>
            <w:r>
              <w:t xml:space="preserve">0.12</w:t>
            </w:r>
          </w:p>
        </w:tc>
        <w:tc>
          <w:tcPr/>
          <w:p>
            <w:pPr>
              <w:pStyle w:val="Compact"/>
              <w:jc w:val="left"/>
            </w:pPr>
            <w:r>
              <w:t xml:space="preserve">0.12</w:t>
            </w:r>
          </w:p>
        </w:tc>
      </w:tr>
      <w:tr>
        <w:tc>
          <w:tcPr/>
          <w:p>
            <w:pPr>
              <w:pStyle w:val="Compact"/>
              <w:jc w:val="left"/>
            </w:pPr>
            <w:r>
              <w:t xml:space="preserve">2014</w:t>
            </w:r>
          </w:p>
        </w:tc>
        <w:tc>
          <w:tcPr/>
          <w:p>
            <w:pPr>
              <w:pStyle w:val="Compact"/>
              <w:jc w:val="left"/>
            </w:pPr>
            <w:r>
              <w:t xml:space="preserve">30.82</w:t>
            </w:r>
          </w:p>
        </w:tc>
        <w:tc>
          <w:tcPr/>
          <w:p>
            <w:pPr>
              <w:pStyle w:val="Compact"/>
              <w:jc w:val="left"/>
            </w:pPr>
            <w:r>
              <w:t xml:space="preserve">0.62</w:t>
            </w:r>
          </w:p>
        </w:tc>
        <w:tc>
          <w:tcPr/>
          <w:p>
            <w:pPr>
              <w:pStyle w:val="Compact"/>
              <w:jc w:val="left"/>
            </w:pPr>
            <w:r>
              <w:t xml:space="preserve">11.62</w:t>
            </w:r>
          </w:p>
        </w:tc>
        <w:tc>
          <w:tcPr/>
          <w:p>
            <w:pPr>
              <w:pStyle w:val="Compact"/>
              <w:jc w:val="left"/>
            </w:pPr>
            <w:r>
              <w:t xml:space="preserve">11.94</w:t>
            </w:r>
          </w:p>
        </w:tc>
        <w:tc>
          <w:tcPr/>
          <w:p>
            <w:pPr>
              <w:pStyle w:val="Compact"/>
              <w:jc w:val="left"/>
            </w:pPr>
            <w:r>
              <w:t xml:space="preserve">0.3</w:t>
            </w:r>
          </w:p>
        </w:tc>
        <w:tc>
          <w:tcPr/>
          <w:p>
            <w:pPr>
              <w:pStyle w:val="Compact"/>
              <w:jc w:val="left"/>
            </w:pPr>
            <w:r>
              <w:t xml:space="preserve">0.3</w:t>
            </w:r>
          </w:p>
        </w:tc>
      </w:tr>
      <w:tr>
        <w:tc>
          <w:tcPr/>
          <w:p>
            <w:pPr>
              <w:pStyle w:val="Compact"/>
              <w:jc w:val="left"/>
            </w:pPr>
            <w:r>
              <w:t xml:space="preserve">2015</w:t>
            </w:r>
          </w:p>
        </w:tc>
        <w:tc>
          <w:tcPr/>
          <w:p>
            <w:pPr>
              <w:pStyle w:val="Compact"/>
              <w:jc w:val="left"/>
            </w:pPr>
            <w:r>
              <w:t xml:space="preserve">18.42</w:t>
            </w:r>
          </w:p>
        </w:tc>
        <w:tc>
          <w:tcPr/>
          <w:p>
            <w:pPr>
              <w:pStyle w:val="Compact"/>
              <w:jc w:val="left"/>
            </w:pPr>
            <w:r>
              <w:t xml:space="preserve">1.58</w:t>
            </w:r>
          </w:p>
        </w:tc>
        <w:tc>
          <w:tcPr/>
          <w:p>
            <w:pPr>
              <w:pStyle w:val="Compact"/>
              <w:jc w:val="left"/>
            </w:pPr>
            <w:r>
              <w:t xml:space="preserve">10.9</w:t>
            </w:r>
          </w:p>
        </w:tc>
        <w:tc>
          <w:tcPr/>
          <w:p>
            <w:pPr>
              <w:pStyle w:val="Compact"/>
              <w:jc w:val="left"/>
            </w:pPr>
            <w:r>
              <w:t xml:space="preserve">11.02</w:t>
            </w:r>
          </w:p>
        </w:tc>
        <w:tc>
          <w:tcPr/>
          <w:p>
            <w:pPr>
              <w:pStyle w:val="Compact"/>
              <w:jc w:val="left"/>
            </w:pPr>
            <w:r>
              <w:t xml:space="preserve">0.12</w:t>
            </w:r>
          </w:p>
        </w:tc>
        <w:tc>
          <w:tcPr/>
          <w:p>
            <w:pPr>
              <w:pStyle w:val="Compact"/>
              <w:jc w:val="left"/>
            </w:pPr>
            <w:r>
              <w:t xml:space="preserve">0.12</w:t>
            </w:r>
          </w:p>
        </w:tc>
      </w:tr>
      <w:tr>
        <w:tc>
          <w:tcPr/>
          <w:p>
            <w:pPr>
              <w:pStyle w:val="Compact"/>
              <w:jc w:val="left"/>
            </w:pPr>
            <w:r>
              <w:t xml:space="preserve">2016</w:t>
            </w:r>
          </w:p>
        </w:tc>
        <w:tc>
          <w:tcPr/>
          <w:p>
            <w:pPr>
              <w:pStyle w:val="Compact"/>
              <w:jc w:val="left"/>
            </w:pPr>
            <w:r>
              <w:t xml:space="preserve">9.78</w:t>
            </w:r>
          </w:p>
        </w:tc>
        <w:tc>
          <w:tcPr/>
          <w:p>
            <w:pPr>
              <w:pStyle w:val="Compact"/>
              <w:jc w:val="left"/>
            </w:pPr>
            <w:r>
              <w:t xml:space="preserve">0.04</w:t>
            </w:r>
          </w:p>
        </w:tc>
        <w:tc>
          <w:tcPr/>
          <w:p>
            <w:pPr>
              <w:pStyle w:val="Compact"/>
              <w:jc w:val="left"/>
            </w:pPr>
            <w:r>
              <w:t xml:space="preserve">4.51</w:t>
            </w:r>
          </w:p>
        </w:tc>
        <w:tc>
          <w:tcPr/>
          <w:p>
            <w:pPr>
              <w:pStyle w:val="Compact"/>
              <w:jc w:val="left"/>
            </w:pPr>
            <w:r>
              <w:t xml:space="preserve">4.7</w:t>
            </w:r>
          </w:p>
        </w:tc>
        <w:tc>
          <w:tcPr/>
          <w:p>
            <w:pPr>
              <w:pStyle w:val="Compact"/>
              <w:jc w:val="left"/>
            </w:pPr>
            <w:r>
              <w:t xml:space="preserve">0.03</w:t>
            </w:r>
          </w:p>
        </w:tc>
        <w:tc>
          <w:tcPr/>
          <w:p>
            <w:pPr>
              <w:pStyle w:val="Compact"/>
              <w:jc w:val="left"/>
            </w:pPr>
            <w:r>
              <w:t xml:space="preserve">0.03</w:t>
            </w:r>
          </w:p>
        </w:tc>
      </w:tr>
      <w:tr>
        <w:tc>
          <w:tcPr/>
          <w:p>
            <w:pPr>
              <w:pStyle w:val="Compact"/>
              <w:jc w:val="left"/>
            </w:pPr>
            <w:r>
              <w:t xml:space="preserve">2017</w:t>
            </w:r>
          </w:p>
        </w:tc>
        <w:tc>
          <w:tcPr/>
          <w:p>
            <w:pPr>
              <w:pStyle w:val="Compact"/>
              <w:jc w:val="left"/>
            </w:pPr>
            <w:r>
              <w:t xml:space="preserve">8.6</w:t>
            </w:r>
          </w:p>
        </w:tc>
        <w:tc>
          <w:tcPr/>
          <w:p>
            <w:pPr>
              <w:pStyle w:val="Compact"/>
              <w:jc w:val="left"/>
            </w:pPr>
            <w:r>
              <w:t xml:space="preserve">0.1</w:t>
            </w:r>
          </w:p>
        </w:tc>
        <w:tc>
          <w:tcPr/>
          <w:p>
            <w:pPr>
              <w:pStyle w:val="Compact"/>
              <w:jc w:val="left"/>
            </w:pPr>
            <w:r>
              <w:t xml:space="preserve">5.88</w:t>
            </w:r>
          </w:p>
        </w:tc>
        <w:tc>
          <w:tcPr/>
          <w:p>
            <w:pPr>
              <w:pStyle w:val="Compact"/>
              <w:jc w:val="left"/>
            </w:pPr>
            <w:r>
              <w:t xml:space="preserve">5.95</w:t>
            </w:r>
          </w:p>
        </w:tc>
        <w:tc>
          <w:tcPr/>
          <w:p>
            <w:pPr>
              <w:pStyle w:val="Compact"/>
              <w:jc w:val="left"/>
            </w:pPr>
            <w:r>
              <w:t xml:space="preserve">0.03</w:t>
            </w:r>
          </w:p>
        </w:tc>
        <w:tc>
          <w:tcPr/>
          <w:p>
            <w:pPr>
              <w:pStyle w:val="Compact"/>
              <w:jc w:val="left"/>
            </w:pPr>
            <w:r>
              <w:t xml:space="preserve">0.03</w:t>
            </w:r>
          </w:p>
        </w:tc>
      </w:tr>
      <w:tr>
        <w:tc>
          <w:tcPr/>
          <w:p>
            <w:pPr>
              <w:pStyle w:val="Compact"/>
              <w:jc w:val="left"/>
            </w:pPr>
            <w:r>
              <w:t xml:space="preserve">2018</w:t>
            </w:r>
          </w:p>
        </w:tc>
        <w:tc>
          <w:tcPr/>
          <w:p>
            <w:pPr>
              <w:pStyle w:val="Compact"/>
              <w:jc w:val="left"/>
            </w:pPr>
            <w:r>
              <w:t xml:space="preserve">12.51</w:t>
            </w:r>
          </w:p>
        </w:tc>
        <w:tc>
          <w:tcPr/>
          <w:p>
            <w:pPr>
              <w:pStyle w:val="Compact"/>
              <w:jc w:val="left"/>
            </w:pPr>
            <w:r>
              <w:t xml:space="preserve">0.4</w:t>
            </w:r>
          </w:p>
        </w:tc>
        <w:tc>
          <w:tcPr/>
          <w:p>
            <w:pPr>
              <w:pStyle w:val="Compact"/>
              <w:jc w:val="left"/>
            </w:pPr>
            <w:r>
              <w:t xml:space="preserve">8.63</w:t>
            </w:r>
          </w:p>
        </w:tc>
        <w:tc>
          <w:tcPr/>
          <w:p>
            <w:pPr>
              <w:pStyle w:val="Compact"/>
              <w:jc w:val="left"/>
            </w:pPr>
            <w:r>
              <w:t xml:space="preserve">8.62</w:t>
            </w:r>
          </w:p>
        </w:tc>
        <w:tc>
          <w:tcPr/>
          <w:p>
            <w:pPr>
              <w:pStyle w:val="Compact"/>
              <w:jc w:val="left"/>
            </w:pPr>
            <w:r>
              <w:t xml:space="preserve">0.02</w:t>
            </w:r>
          </w:p>
        </w:tc>
        <w:tc>
          <w:tcPr/>
          <w:p>
            <w:pPr>
              <w:pStyle w:val="Compact"/>
              <w:jc w:val="left"/>
            </w:pPr>
            <w:r>
              <w:t xml:space="preserve">0.02</w:t>
            </w:r>
          </w:p>
        </w:tc>
      </w:tr>
      <w:tr>
        <w:tc>
          <w:tcPr/>
          <w:p>
            <w:pPr>
              <w:pStyle w:val="Compact"/>
              <w:jc w:val="left"/>
            </w:pPr>
            <w:r>
              <w:t xml:space="preserve">2019</w:t>
            </w:r>
          </w:p>
        </w:tc>
        <w:tc>
          <w:tcPr/>
          <w:p>
            <w:pPr>
              <w:pStyle w:val="Compact"/>
              <w:jc w:val="left"/>
            </w:pPr>
            <w:r>
              <w:t xml:space="preserve">15.43</w:t>
            </w:r>
          </w:p>
        </w:tc>
        <w:tc>
          <w:tcPr/>
          <w:p>
            <w:pPr>
              <w:pStyle w:val="Compact"/>
              <w:jc w:val="left"/>
            </w:pPr>
            <w:r>
              <w:t xml:space="preserve">0.21</w:t>
            </w:r>
          </w:p>
        </w:tc>
        <w:tc>
          <w:tcPr/>
          <w:p>
            <w:pPr>
              <w:pStyle w:val="Compact"/>
              <w:jc w:val="left"/>
            </w:pPr>
            <w:r>
              <w:t xml:space="preserve">15.61</w:t>
            </w:r>
          </w:p>
        </w:tc>
        <w:tc>
          <w:tcPr/>
          <w:p>
            <w:pPr>
              <w:pStyle w:val="Compact"/>
              <w:jc w:val="left"/>
            </w:pPr>
            <w:r>
              <w:t xml:space="preserve">15.61</w:t>
            </w:r>
          </w:p>
        </w:tc>
        <w:tc>
          <w:tcPr/>
          <w:p>
            <w:pPr>
              <w:pStyle w:val="Compact"/>
              <w:jc w:val="left"/>
            </w:pPr>
            <w:r>
              <w:t xml:space="preserve">0.02</w:t>
            </w:r>
          </w:p>
        </w:tc>
        <w:tc>
          <w:tcPr/>
          <w:p>
            <w:pPr>
              <w:pStyle w:val="Compact"/>
              <w:jc w:val="left"/>
            </w:pPr>
            <w:r>
              <w:t xml:space="preserve">0.02</w:t>
            </w:r>
          </w:p>
        </w:tc>
      </w:tr>
      <w:tr>
        <w:tc>
          <w:tcPr/>
          <w:p>
            <w:pPr>
              <w:pStyle w:val="Compact"/>
              <w:jc w:val="left"/>
            </w:pPr>
            <w:r>
              <w:t xml:space="preserve">2020</w:t>
            </w:r>
          </w:p>
        </w:tc>
        <w:tc>
          <w:tcPr/>
          <w:p>
            <w:pPr>
              <w:pStyle w:val="Compact"/>
              <w:jc w:val="left"/>
            </w:pPr>
            <w:r>
              <w:t xml:space="preserve">20.41</w:t>
            </w:r>
          </w:p>
        </w:tc>
        <w:tc>
          <w:tcPr/>
          <w:p>
            <w:pPr>
              <w:pStyle w:val="Compact"/>
              <w:jc w:val="left"/>
            </w:pPr>
            <w:r>
              <w:t xml:space="preserve">0.19</w:t>
            </w:r>
          </w:p>
        </w:tc>
        <w:tc>
          <w:tcPr/>
          <w:p>
            <w:pPr>
              <w:pStyle w:val="Compact"/>
              <w:jc w:val="left"/>
            </w:pPr>
            <w:r>
              <w:t xml:space="preserve">6.12</w:t>
            </w:r>
          </w:p>
        </w:tc>
        <w:tc>
          <w:tcPr/>
          <w:p>
            <w:pPr>
              <w:pStyle w:val="Compact"/>
              <w:jc w:val="left"/>
            </w:pPr>
            <w:r>
              <w:t xml:space="preserve">6.12</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2021</w:t>
            </w:r>
          </w:p>
        </w:tc>
        <w:tc>
          <w:tcPr/>
          <w:p>
            <w:pPr>
              <w:pStyle w:val="Compact"/>
              <w:jc w:val="left"/>
            </w:pPr>
            <w:r>
              <w:t xml:space="preserve">2.52</w:t>
            </w:r>
          </w:p>
        </w:tc>
        <w:tc>
          <w:tcPr/>
          <w:p>
            <w:pPr>
              <w:pStyle w:val="Compact"/>
              <w:jc w:val="left"/>
            </w:pPr>
            <w:r>
              <w:t xml:space="preserve">0.13</w:t>
            </w:r>
          </w:p>
        </w:tc>
        <w:tc>
          <w:tcPr/>
          <w:p>
            <w:pPr>
              <w:pStyle w:val="Compact"/>
              <w:jc w:val="left"/>
            </w:pPr>
            <w:r>
              <w:t xml:space="preserve">1.68</w:t>
            </w:r>
          </w:p>
        </w:tc>
        <w:tc>
          <w:tcPr/>
          <w:p>
            <w:pPr>
              <w:pStyle w:val="Compact"/>
              <w:jc w:val="left"/>
            </w:pPr>
            <w:r>
              <w:t xml:space="preserve">1.68</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2022</w:t>
            </w:r>
          </w:p>
        </w:tc>
        <w:tc>
          <w:tcPr/>
          <w:p>
            <w:pPr>
              <w:pStyle w:val="Compact"/>
              <w:jc w:val="left"/>
            </w:pPr>
            <w:r>
              <w:t xml:space="preserve">0</w:t>
            </w:r>
          </w:p>
        </w:tc>
        <w:tc>
          <w:tcPr/>
          <w:p>
            <w:pPr>
              <w:pStyle w:val="Compact"/>
              <w:jc w:val="left"/>
            </w:pPr>
            <w:r>
              <w:t xml:space="preserve">0.06</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2023</w:t>
            </w:r>
          </w:p>
        </w:tc>
        <w:tc>
          <w:tcPr/>
          <w:p>
            <w:pPr>
              <w:pStyle w:val="Compact"/>
              <w:jc w:val="left"/>
            </w:pPr>
            <w:r>
              <w:t xml:space="preserve">0</w:t>
            </w:r>
          </w:p>
        </w:tc>
        <w:tc>
          <w:tcPr/>
          <w:p>
            <w:pPr>
              <w:pStyle w:val="Compact"/>
              <w:jc w:val="left"/>
            </w:pPr>
            <w:r>
              <w:t xml:space="preserve">0.11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2024</w:t>
            </w:r>
          </w:p>
        </w:tc>
        <w:tc>
          <w:tcPr/>
          <w:p>
            <w:pPr>
              <w:pStyle w:val="Compact"/>
              <w:jc w:val="left"/>
            </w:pPr>
            <w:r>
              <w:t xml:space="preserve">2.15</w:t>
            </w:r>
          </w:p>
        </w:tc>
        <w:tc>
          <w:tcPr/>
          <w:p>
            <w:pPr>
              <w:pStyle w:val="Compact"/>
              <w:jc w:val="left"/>
            </w:pPr>
            <w:r>
              <w:t xml:space="preserve">0.09</w:t>
            </w:r>
          </w:p>
        </w:tc>
        <w:tc>
          <w:tcPr/>
          <w:p>
            <w:pPr>
              <w:pStyle w:val="Compact"/>
              <w:jc w:val="left"/>
            </w:pPr>
            <w:r>
              <w:t xml:space="preserve">0.66</w:t>
            </w:r>
          </w:p>
        </w:tc>
        <w:tc>
          <w:tcPr/>
          <w:p>
            <w:pPr>
              <w:pStyle w:val="Compact"/>
              <w:jc w:val="left"/>
            </w:pPr>
            <w:r>
              <w:t xml:space="preserve">0.67</w:t>
            </w:r>
          </w:p>
        </w:tc>
        <w:tc>
          <w:tcPr/>
          <w:p>
            <w:pPr>
              <w:pStyle w:val="Compact"/>
              <w:jc w:val="left"/>
            </w:pPr>
            <w:r>
              <w:t xml:space="preserve">0</w:t>
            </w:r>
          </w:p>
        </w:tc>
        <w:tc>
          <w:tcPr/>
          <w:p>
            <w:pPr>
              <w:pStyle w:val="Compact"/>
              <w:jc w:val="left"/>
            </w:pPr>
            <w:r>
              <w:t xml:space="preserve">0</w:t>
            </w:r>
          </w:p>
        </w:tc>
      </w:tr>
    </w:tbl>
    <w:p>
      <w:r>
        <w:br w:type="page"/>
      </w:r>
    </w:p>
    <w:p>
      <w:pPr>
        <w:pStyle w:val="TableCaption"/>
      </w:pPr>
      <w:r>
        <w:t xml:space="preserve">Management quantities derived from maximum likelihood estimates by model using Tier 3 reference points. Reported natural mortality is for mature males, average recruitment is for males, and status and MMB were estimates for February 15 of the completed crab year.</w:t>
      </w:r>
    </w:p>
    <w:tbl>
      <w:tblPr>
        <w:tblStyle w:val="Table"/>
        <w:tblW w:type="pct" w:w="5000"/>
        <w:tblLayout w:type="fixed"/>
        <w:tblLook w:firstRow="1" w:lastRow="0" w:firstColumn="0" w:lastColumn="0" w:noHBand="0" w:noVBand="0" w:val="0020"/>
        <w:tblCaption w:val="Management quantities derived from maximum likelihood estimates by model using Tier 3 reference points. Reported natural mortality is for mature males, average recruitment is for males, and status and MMB were estimates for February 15 of the completed crab year."/>
      </w:tblPr>
      <w:tblGrid>
        <w:gridCol w:w="4648"/>
        <w:gridCol w:w="602"/>
        <w:gridCol w:w="946"/>
        <w:gridCol w:w="602"/>
        <w:gridCol w:w="602"/>
        <w:gridCol w:w="516"/>
      </w:tblGrid>
      <w:tr>
        <w:trPr>
          <w:tblHeader w:val="on"/>
        </w:trPr>
        <w:tc>
          <w:tcPr/>
          <w:p>
            <w:pPr>
              <w:pStyle w:val="Compact"/>
              <w:jc w:val="left"/>
            </w:pPr>
            <w:r>
              <w:t xml:space="preserve">Model</w:t>
            </w:r>
          </w:p>
        </w:tc>
        <w:tc>
          <w:tcPr/>
          <w:p>
            <w:pPr>
              <w:pStyle w:val="Compact"/>
              <w:jc w:val="right"/>
            </w:pPr>
            <w:r>
              <w:t xml:space="preserve">BMSY</w:t>
            </w:r>
          </w:p>
        </w:tc>
        <w:tc>
          <w:tcPr/>
          <w:p>
            <w:pPr>
              <w:pStyle w:val="Compact"/>
              <w:jc w:val="right"/>
            </w:pPr>
            <w:r>
              <w:t xml:space="preserve">Bcurr/BMSY</w:t>
            </w:r>
          </w:p>
        </w:tc>
        <w:tc>
          <w:tcPr/>
          <w:p>
            <w:pPr>
              <w:pStyle w:val="Compact"/>
              <w:jc w:val="right"/>
            </w:pPr>
            <w:r>
              <w:t xml:space="preserve">Fmsy</w:t>
            </w:r>
          </w:p>
        </w:tc>
        <w:tc>
          <w:tcPr/>
          <w:p>
            <w:pPr>
              <w:pStyle w:val="Compact"/>
              <w:jc w:val="right"/>
            </w:pPr>
            <w:r>
              <w:t xml:space="preserve">Fofl</w:t>
            </w:r>
          </w:p>
        </w:tc>
        <w:tc>
          <w:tcPr/>
          <w:p>
            <w:pPr>
              <w:pStyle w:val="Compact"/>
              <w:jc w:val="right"/>
            </w:pPr>
            <w:r>
              <w:t xml:space="preserve">OFL</w:t>
            </w:r>
          </w:p>
        </w:tc>
      </w:tr>
      <w:tr>
        <w:tc>
          <w:tcPr/>
          <w:p>
            <w:pPr>
              <w:pStyle w:val="Compact"/>
              <w:jc w:val="left"/>
            </w:pPr>
            <w:r>
              <w:t xml:space="preserve">25.1 gmacs</w:t>
            </w:r>
          </w:p>
        </w:tc>
        <w:tc>
          <w:tcPr/>
          <w:p>
            <w:pPr>
              <w:pStyle w:val="Compact"/>
              <w:jc w:val="right"/>
            </w:pPr>
            <w:r>
              <w:t xml:space="preserve">173.31</w:t>
            </w:r>
          </w:p>
        </w:tc>
        <w:tc>
          <w:tcPr/>
          <w:p>
            <w:pPr>
              <w:pStyle w:val="Compact"/>
              <w:jc w:val="right"/>
            </w:pPr>
            <w:r>
              <w:t xml:space="preserve">0.88</w:t>
            </w:r>
          </w:p>
        </w:tc>
        <w:tc>
          <w:tcPr/>
          <w:p>
            <w:pPr>
              <w:pStyle w:val="Compact"/>
              <w:jc w:val="right"/>
            </w:pPr>
            <w:r>
              <w:t xml:space="preserve">32.53</w:t>
            </w:r>
          </w:p>
        </w:tc>
        <w:tc>
          <w:tcPr/>
          <w:p>
            <w:pPr>
              <w:pStyle w:val="Compact"/>
              <w:jc w:val="right"/>
            </w:pPr>
            <w:r>
              <w:t xml:space="preserve">28.18</w:t>
            </w:r>
          </w:p>
        </w:tc>
        <w:tc>
          <w:tcPr/>
          <w:p>
            <w:pPr>
              <w:pStyle w:val="Compact"/>
              <w:jc w:val="right"/>
            </w:pPr>
            <w:r>
              <w:t xml:space="preserve">37.60</w:t>
            </w:r>
          </w:p>
        </w:tc>
      </w:tr>
      <w:tr>
        <w:tc>
          <w:tcPr/>
          <w:p>
            <w:pPr>
              <w:pStyle w:val="Compact"/>
              <w:jc w:val="left"/>
            </w:pPr>
            <w:r>
              <w:t xml:space="preserve">25.1 gmacs (update)</w:t>
            </w:r>
          </w:p>
        </w:tc>
        <w:tc>
          <w:tcPr/>
          <w:p>
            <w:pPr>
              <w:pStyle w:val="Compact"/>
              <w:jc w:val="right"/>
            </w:pPr>
            <w:r>
              <w:t xml:space="preserve">181.27</w:t>
            </w:r>
          </w:p>
        </w:tc>
        <w:tc>
          <w:tcPr/>
          <w:p>
            <w:pPr>
              <w:pStyle w:val="Compact"/>
              <w:jc w:val="right"/>
            </w:pPr>
            <w:r>
              <w:t xml:space="preserve">0.89</w:t>
            </w:r>
          </w:p>
        </w:tc>
        <w:tc>
          <w:tcPr/>
          <w:p>
            <w:pPr>
              <w:pStyle w:val="Compact"/>
              <w:jc w:val="right"/>
            </w:pPr>
            <w:r>
              <w:t xml:space="preserve">37.56</w:t>
            </w:r>
          </w:p>
        </w:tc>
        <w:tc>
          <w:tcPr/>
          <w:p>
            <w:pPr>
              <w:pStyle w:val="Compact"/>
              <w:jc w:val="right"/>
            </w:pPr>
            <w:r>
              <w:t xml:space="preserve">32.92</w:t>
            </w:r>
          </w:p>
        </w:tc>
        <w:tc>
          <w:tcPr/>
          <w:p>
            <w:pPr>
              <w:pStyle w:val="Compact"/>
              <w:jc w:val="right"/>
            </w:pPr>
            <w:r>
              <w:t xml:space="preserve">45.48</w:t>
            </w:r>
          </w:p>
        </w:tc>
      </w:tr>
      <w:tr>
        <w:tc>
          <w:tcPr/>
          <w:p>
            <w:pPr>
              <w:pStyle w:val="Compact"/>
              <w:jc w:val="left"/>
            </w:pPr>
            <w:r>
              <w:t xml:space="preserve">25.1 gmacs (update + imm_surv + compfix)</w:t>
            </w:r>
          </w:p>
        </w:tc>
        <w:tc>
          <w:tcPr/>
          <w:p>
            <w:pPr>
              <w:pStyle w:val="Compact"/>
              <w:jc w:val="right"/>
            </w:pPr>
            <w:r>
              <w:t xml:space="preserve">94.33</w:t>
            </w:r>
          </w:p>
        </w:tc>
        <w:tc>
          <w:tcPr/>
          <w:p>
            <w:pPr>
              <w:pStyle w:val="Compact"/>
              <w:jc w:val="right"/>
            </w:pPr>
            <w:r>
              <w:t xml:space="preserve">0.95</w:t>
            </w:r>
          </w:p>
        </w:tc>
        <w:tc>
          <w:tcPr/>
          <w:p>
            <w:pPr>
              <w:pStyle w:val="Compact"/>
              <w:jc w:val="right"/>
            </w:pPr>
            <w:r>
              <w:t xml:space="preserve">157.51</w:t>
            </w:r>
          </w:p>
        </w:tc>
        <w:tc>
          <w:tcPr/>
          <w:p>
            <w:pPr>
              <w:pStyle w:val="Compact"/>
              <w:jc w:val="right"/>
            </w:pPr>
            <w:r>
              <w:t xml:space="preserve">149.34</w:t>
            </w:r>
          </w:p>
        </w:tc>
        <w:tc>
          <w:tcPr/>
          <w:p>
            <w:pPr>
              <w:pStyle w:val="Compact"/>
              <w:jc w:val="right"/>
            </w:pPr>
            <w:r>
              <w:t xml:space="preserve">36.42</w:t>
            </w:r>
          </w:p>
        </w:tc>
      </w:tr>
      <w:tr>
        <w:tc>
          <w:tcPr/>
          <w:p>
            <w:pPr>
              <w:pStyle w:val="Compact"/>
              <w:jc w:val="left"/>
            </w:pPr>
            <w:r>
              <w:t xml:space="preserve">25.1 gmacs (update + imm_surv + plus group)</w:t>
            </w:r>
          </w:p>
        </w:tc>
        <w:tc>
          <w:tcPr/>
          <w:p>
            <w:pPr>
              <w:pStyle w:val="Compact"/>
              <w:jc w:val="right"/>
            </w:pPr>
            <w:r>
              <w:t xml:space="preserve">96.01</w:t>
            </w:r>
          </w:p>
        </w:tc>
        <w:tc>
          <w:tcPr/>
          <w:p>
            <w:pPr>
              <w:pStyle w:val="Compact"/>
              <w:jc w:val="right"/>
            </w:pPr>
            <w:r>
              <w:t xml:space="preserve">0.98</w:t>
            </w:r>
          </w:p>
        </w:tc>
        <w:tc>
          <w:tcPr/>
          <w:p>
            <w:pPr>
              <w:pStyle w:val="Compact"/>
              <w:jc w:val="right"/>
            </w:pPr>
            <w:r>
              <w:t xml:space="preserve">152.29</w:t>
            </w:r>
          </w:p>
        </w:tc>
        <w:tc>
          <w:tcPr/>
          <w:p>
            <w:pPr>
              <w:pStyle w:val="Compact"/>
              <w:jc w:val="right"/>
            </w:pPr>
            <w:r>
              <w:t xml:space="preserve">148.70</w:t>
            </w:r>
          </w:p>
        </w:tc>
        <w:tc>
          <w:tcPr/>
          <w:p>
            <w:pPr>
              <w:pStyle w:val="Compact"/>
              <w:jc w:val="right"/>
            </w:pPr>
            <w:r>
              <w:t xml:space="preserve">34.77</w:t>
            </w:r>
          </w:p>
        </w:tc>
      </w:tr>
      <w:tr>
        <w:tc>
          <w:tcPr/>
          <w:p>
            <w:pPr>
              <w:pStyle w:val="Compact"/>
              <w:jc w:val="left"/>
            </w:pPr>
            <w:r>
              <w:t xml:space="preserve">25.1 gmacs (update + compfix)</w:t>
            </w:r>
          </w:p>
        </w:tc>
        <w:tc>
          <w:tcPr/>
          <w:p>
            <w:pPr>
              <w:pStyle w:val="Compact"/>
              <w:jc w:val="right"/>
            </w:pPr>
            <w:r>
              <w:t xml:space="preserve">177.53</w:t>
            </w:r>
          </w:p>
        </w:tc>
        <w:tc>
          <w:tcPr/>
          <w:p>
            <w:pPr>
              <w:pStyle w:val="Compact"/>
              <w:jc w:val="right"/>
            </w:pPr>
            <w:r>
              <w:t xml:space="preserve">0.90</w:t>
            </w:r>
          </w:p>
        </w:tc>
        <w:tc>
          <w:tcPr/>
          <w:p>
            <w:pPr>
              <w:pStyle w:val="Compact"/>
              <w:jc w:val="right"/>
            </w:pPr>
            <w:r>
              <w:t xml:space="preserve">41.65</w:t>
            </w:r>
          </w:p>
        </w:tc>
        <w:tc>
          <w:tcPr/>
          <w:p>
            <w:pPr>
              <w:pStyle w:val="Compact"/>
              <w:jc w:val="right"/>
            </w:pPr>
            <w:r>
              <w:t xml:space="preserve">37.24</w:t>
            </w:r>
          </w:p>
        </w:tc>
        <w:tc>
          <w:tcPr/>
          <w:p>
            <w:pPr>
              <w:pStyle w:val="Compact"/>
              <w:jc w:val="right"/>
            </w:pPr>
            <w:r>
              <w:t xml:space="preserve">45.88</w:t>
            </w:r>
          </w:p>
        </w:tc>
      </w:tr>
      <w:tr>
        <w:tc>
          <w:tcPr/>
          <w:p>
            <w:pPr>
              <w:pStyle w:val="Compact"/>
              <w:jc w:val="left"/>
            </w:pPr>
            <w:r>
              <w:t xml:space="preserve">25.1 gmacs (update + plus group)</w:t>
            </w:r>
          </w:p>
        </w:tc>
        <w:tc>
          <w:tcPr/>
          <w:p>
            <w:pPr>
              <w:pStyle w:val="Compact"/>
              <w:jc w:val="right"/>
            </w:pPr>
            <w:r>
              <w:t xml:space="preserve">183.54</w:t>
            </w:r>
          </w:p>
        </w:tc>
        <w:tc>
          <w:tcPr/>
          <w:p>
            <w:pPr>
              <w:pStyle w:val="Compact"/>
              <w:jc w:val="right"/>
            </w:pPr>
            <w:r>
              <w:t xml:space="preserve">0.87</w:t>
            </w:r>
          </w:p>
        </w:tc>
        <w:tc>
          <w:tcPr/>
          <w:p>
            <w:pPr>
              <w:pStyle w:val="Compact"/>
              <w:jc w:val="right"/>
            </w:pPr>
            <w:r>
              <w:t xml:space="preserve">38.32</w:t>
            </w:r>
          </w:p>
        </w:tc>
        <w:tc>
          <w:tcPr/>
          <w:p>
            <w:pPr>
              <w:pStyle w:val="Compact"/>
              <w:jc w:val="right"/>
            </w:pPr>
            <w:r>
              <w:t xml:space="preserve">32.67</w:t>
            </w:r>
          </w:p>
        </w:tc>
        <w:tc>
          <w:tcPr/>
          <w:p>
            <w:pPr>
              <w:pStyle w:val="Compact"/>
              <w:jc w:val="right"/>
            </w:pPr>
            <w:r>
              <w:t xml:space="preserve">43.75</w:t>
            </w:r>
          </w:p>
        </w:tc>
      </w:tr>
      <w:tr>
        <w:tc>
          <w:tcPr/>
          <w:p>
            <w:pPr>
              <w:pStyle w:val="Compact"/>
              <w:jc w:val="left"/>
            </w:pPr>
            <w:r>
              <w:t xml:space="preserve">25.1 gmacs (update + new_mat + plus group)</w:t>
            </w:r>
          </w:p>
        </w:tc>
        <w:tc>
          <w:tcPr/>
          <w:p>
            <w:pPr>
              <w:pStyle w:val="Compact"/>
              <w:jc w:val="right"/>
            </w:pPr>
            <w:r>
              <w:t xml:space="preserve">171.60</w:t>
            </w:r>
          </w:p>
        </w:tc>
        <w:tc>
          <w:tcPr/>
          <w:p>
            <w:pPr>
              <w:pStyle w:val="Compact"/>
              <w:jc w:val="right"/>
            </w:pPr>
            <w:r>
              <w:t xml:space="preserve">0.96</w:t>
            </w:r>
          </w:p>
        </w:tc>
        <w:tc>
          <w:tcPr/>
          <w:p>
            <w:pPr>
              <w:pStyle w:val="Compact"/>
              <w:jc w:val="right"/>
            </w:pPr>
            <w:r>
              <w:t xml:space="preserve">40.79</w:t>
            </w:r>
          </w:p>
        </w:tc>
        <w:tc>
          <w:tcPr/>
          <w:p>
            <w:pPr>
              <w:pStyle w:val="Compact"/>
              <w:jc w:val="right"/>
            </w:pPr>
            <w:r>
              <w:t xml:space="preserve">38.94</w:t>
            </w:r>
          </w:p>
        </w:tc>
        <w:tc>
          <w:tcPr/>
          <w:p>
            <w:pPr>
              <w:pStyle w:val="Compact"/>
              <w:jc w:val="right"/>
            </w:pPr>
            <w:r>
              <w:t xml:space="preserve">50.27</w:t>
            </w:r>
          </w:p>
        </w:tc>
      </w:tr>
      <w:tr>
        <w:tc>
          <w:tcPr/>
          <w:p>
            <w:pPr>
              <w:pStyle w:val="Compact"/>
              <w:jc w:val="left"/>
            </w:pPr>
            <w:r>
              <w:t xml:space="preserve">25.1 gmacs (update + new_mat + imm_surv + plus group)</w:t>
            </w:r>
          </w:p>
        </w:tc>
        <w:tc>
          <w:tcPr/>
          <w:p>
            <w:pPr>
              <w:pStyle w:val="Compact"/>
              <w:jc w:val="right"/>
            </w:pPr>
            <w:r>
              <w:t xml:space="preserve">166.67</w:t>
            </w:r>
          </w:p>
        </w:tc>
        <w:tc>
          <w:tcPr/>
          <w:p>
            <w:pPr>
              <w:pStyle w:val="Compact"/>
              <w:jc w:val="right"/>
            </w:pPr>
            <w:r>
              <w:t xml:space="preserve">0.91</w:t>
            </w:r>
          </w:p>
        </w:tc>
        <w:tc>
          <w:tcPr/>
          <w:p>
            <w:pPr>
              <w:pStyle w:val="Compact"/>
              <w:jc w:val="right"/>
            </w:pPr>
            <w:r>
              <w:t xml:space="preserve">75.48</w:t>
            </w:r>
          </w:p>
        </w:tc>
        <w:tc>
          <w:tcPr/>
          <w:p>
            <w:pPr>
              <w:pStyle w:val="Compact"/>
              <w:jc w:val="right"/>
            </w:pPr>
            <w:r>
              <w:t xml:space="preserve">68.21</w:t>
            </w:r>
          </w:p>
        </w:tc>
        <w:tc>
          <w:tcPr/>
          <w:p>
            <w:pPr>
              <w:pStyle w:val="Compact"/>
              <w:jc w:val="right"/>
            </w:pPr>
            <w:r>
              <w:t xml:space="preserve">60.01</w:t>
            </w:r>
          </w:p>
        </w:tc>
      </w:tr>
      <w:tr>
        <w:tc>
          <w:tcPr/>
          <w:p>
            <w:pPr>
              <w:pStyle w:val="Compact"/>
              <w:jc w:val="left"/>
            </w:pPr>
            <w:r>
              <w:t xml:space="preserve">25.1 gmacs (update + hyb_surv)</w:t>
            </w:r>
          </w:p>
        </w:tc>
        <w:tc>
          <w:tcPr/>
          <w:p>
            <w:pPr>
              <w:pStyle w:val="Compact"/>
              <w:jc w:val="right"/>
            </w:pPr>
            <w:r>
              <w:t xml:space="preserve">176.33</w:t>
            </w:r>
          </w:p>
        </w:tc>
        <w:tc>
          <w:tcPr/>
          <w:p>
            <w:pPr>
              <w:pStyle w:val="Compact"/>
              <w:jc w:val="right"/>
            </w:pPr>
            <w:r>
              <w:t xml:space="preserve">0.93</w:t>
            </w:r>
          </w:p>
        </w:tc>
        <w:tc>
          <w:tcPr/>
          <w:p>
            <w:pPr>
              <w:pStyle w:val="Compact"/>
              <w:jc w:val="right"/>
            </w:pPr>
            <w:r>
              <w:t xml:space="preserve">34.46</w:t>
            </w:r>
          </w:p>
        </w:tc>
        <w:tc>
          <w:tcPr/>
          <w:p>
            <w:pPr>
              <w:pStyle w:val="Compact"/>
              <w:jc w:val="right"/>
            </w:pPr>
            <w:r>
              <w:t xml:space="preserve">31.59</w:t>
            </w:r>
          </w:p>
        </w:tc>
        <w:tc>
          <w:tcPr/>
          <w:p>
            <w:pPr>
              <w:pStyle w:val="Compact"/>
              <w:jc w:val="right"/>
            </w:pPr>
            <w:r>
              <w:t xml:space="preserve">47.83</w:t>
            </w:r>
          </w:p>
        </w:tc>
      </w:tr>
      <w:tr>
        <w:tc>
          <w:tcPr/>
          <w:p>
            <w:pPr>
              <w:pStyle w:val="Compact"/>
              <w:jc w:val="left"/>
            </w:pPr>
            <w:r>
              <w:t xml:space="preserve">25.1 gmacs (update + hyb_fishery)</w:t>
            </w:r>
          </w:p>
        </w:tc>
        <w:tc>
          <w:tcPr/>
          <w:p>
            <w:pPr>
              <w:pStyle w:val="Compact"/>
              <w:jc w:val="right"/>
            </w:pPr>
            <w:r>
              <w:t xml:space="preserve">169.34</w:t>
            </w:r>
          </w:p>
        </w:tc>
        <w:tc>
          <w:tcPr/>
          <w:p>
            <w:pPr>
              <w:pStyle w:val="Compact"/>
              <w:jc w:val="right"/>
            </w:pPr>
            <w:r>
              <w:t xml:space="preserve">0.91</w:t>
            </w:r>
          </w:p>
        </w:tc>
        <w:tc>
          <w:tcPr/>
          <w:p>
            <w:pPr>
              <w:pStyle w:val="Compact"/>
              <w:jc w:val="right"/>
            </w:pPr>
            <w:r>
              <w:t xml:space="preserve">37.04</w:t>
            </w:r>
          </w:p>
        </w:tc>
        <w:tc>
          <w:tcPr/>
          <w:p>
            <w:pPr>
              <w:pStyle w:val="Compact"/>
              <w:jc w:val="right"/>
            </w:pPr>
            <w:r>
              <w:t xml:space="preserve">33.39</w:t>
            </w:r>
          </w:p>
        </w:tc>
        <w:tc>
          <w:tcPr/>
          <w:p>
            <w:pPr>
              <w:pStyle w:val="Compact"/>
              <w:jc w:val="right"/>
            </w:pPr>
            <w:r>
              <w:t xml:space="preserve">44.16</w:t>
            </w:r>
          </w:p>
        </w:tc>
      </w:tr>
      <w:tr>
        <w:tc>
          <w:tcPr/>
          <w:p>
            <w:pPr>
              <w:pStyle w:val="Compact"/>
              <w:jc w:val="left"/>
            </w:pPr>
            <w:r>
              <w:t xml:space="preserve">25.1 gmacs (update + hyb_both)</w:t>
            </w:r>
          </w:p>
        </w:tc>
        <w:tc>
          <w:tcPr/>
          <w:p>
            <w:pPr>
              <w:pStyle w:val="Compact"/>
              <w:jc w:val="right"/>
            </w:pPr>
            <w:r>
              <w:t xml:space="preserve">166.56</w:t>
            </w:r>
          </w:p>
        </w:tc>
        <w:tc>
          <w:tcPr/>
          <w:p>
            <w:pPr>
              <w:pStyle w:val="Compact"/>
              <w:jc w:val="right"/>
            </w:pPr>
            <w:r>
              <w:t xml:space="preserve">0.96</w:t>
            </w:r>
          </w:p>
        </w:tc>
        <w:tc>
          <w:tcPr/>
          <w:p>
            <w:pPr>
              <w:pStyle w:val="Compact"/>
              <w:jc w:val="right"/>
            </w:pPr>
            <w:r>
              <w:t xml:space="preserve">34.93</w:t>
            </w:r>
          </w:p>
        </w:tc>
        <w:tc>
          <w:tcPr/>
          <w:p>
            <w:pPr>
              <w:pStyle w:val="Compact"/>
              <w:jc w:val="right"/>
            </w:pPr>
            <w:r>
              <w:t xml:space="preserve">33.30</w:t>
            </w:r>
          </w:p>
        </w:tc>
        <w:tc>
          <w:tcPr/>
          <w:p>
            <w:pPr>
              <w:pStyle w:val="Compact"/>
              <w:jc w:val="right"/>
            </w:pPr>
            <w:r>
              <w:t xml:space="preserve">42.14</w:t>
            </w:r>
          </w:p>
        </w:tc>
      </w:tr>
      <w:tr>
        <w:tc>
          <w:tcPr/>
          <w:p>
            <w:pPr>
              <w:pStyle w:val="Compact"/>
              <w:jc w:val="left"/>
            </w:pPr>
            <w:r>
              <w:t xml:space="preserve">25.1 gmacs (update + new_mat)</w:t>
            </w:r>
          </w:p>
        </w:tc>
        <w:tc>
          <w:tcPr/>
          <w:p>
            <w:pPr>
              <w:pStyle w:val="Compact"/>
              <w:jc w:val="right"/>
            </w:pPr>
            <w:r>
              <w:t xml:space="preserve">171.92</w:t>
            </w:r>
          </w:p>
        </w:tc>
        <w:tc>
          <w:tcPr/>
          <w:p>
            <w:pPr>
              <w:pStyle w:val="Compact"/>
              <w:jc w:val="right"/>
            </w:pPr>
            <w:r>
              <w:t xml:space="preserve">0.97</w:t>
            </w:r>
          </w:p>
        </w:tc>
        <w:tc>
          <w:tcPr/>
          <w:p>
            <w:pPr>
              <w:pStyle w:val="Compact"/>
              <w:jc w:val="right"/>
            </w:pPr>
            <w:r>
              <w:t xml:space="preserve">38.16</w:t>
            </w:r>
          </w:p>
        </w:tc>
        <w:tc>
          <w:tcPr/>
          <w:p>
            <w:pPr>
              <w:pStyle w:val="Compact"/>
              <w:jc w:val="right"/>
            </w:pPr>
            <w:r>
              <w:t xml:space="preserve">36.80</w:t>
            </w:r>
          </w:p>
        </w:tc>
        <w:tc>
          <w:tcPr/>
          <w:p>
            <w:pPr>
              <w:pStyle w:val="Compact"/>
              <w:jc w:val="right"/>
            </w:pPr>
            <w:r>
              <w:t xml:space="preserve">51.40</w:t>
            </w:r>
          </w:p>
        </w:tc>
      </w:tr>
      <w:tr>
        <w:tc>
          <w:tcPr/>
          <w:p>
            <w:pPr>
              <w:pStyle w:val="Compact"/>
              <w:jc w:val="left"/>
            </w:pPr>
            <w:r>
              <w:t xml:space="preserve">25.1 gmacs (update + new_mat + compfix)</w:t>
            </w:r>
          </w:p>
        </w:tc>
        <w:tc>
          <w:tcPr/>
          <w:p>
            <w:pPr>
              <w:pStyle w:val="Compact"/>
              <w:jc w:val="right"/>
            </w:pPr>
            <w:r>
              <w:t xml:space="preserve">173.54</w:t>
            </w:r>
          </w:p>
        </w:tc>
        <w:tc>
          <w:tcPr/>
          <w:p>
            <w:pPr>
              <w:pStyle w:val="Compact"/>
              <w:jc w:val="right"/>
            </w:pPr>
            <w:r>
              <w:t xml:space="preserve">0.96</w:t>
            </w:r>
          </w:p>
        </w:tc>
        <w:tc>
          <w:tcPr/>
          <w:p>
            <w:pPr>
              <w:pStyle w:val="Compact"/>
              <w:jc w:val="right"/>
            </w:pPr>
            <w:r>
              <w:t xml:space="preserve">39.48</w:t>
            </w:r>
          </w:p>
        </w:tc>
        <w:tc>
          <w:tcPr/>
          <w:p>
            <w:pPr>
              <w:pStyle w:val="Compact"/>
              <w:jc w:val="right"/>
            </w:pPr>
            <w:r>
              <w:t xml:space="preserve">37.94</w:t>
            </w:r>
          </w:p>
        </w:tc>
        <w:tc>
          <w:tcPr/>
          <w:p>
            <w:pPr>
              <w:pStyle w:val="Compact"/>
              <w:jc w:val="right"/>
            </w:pPr>
            <w:r>
              <w:t xml:space="preserve">51.53</w:t>
            </w:r>
          </w:p>
        </w:tc>
      </w:tr>
      <w:tr>
        <w:tc>
          <w:tcPr/>
          <w:p>
            <w:pPr>
              <w:pStyle w:val="Compact"/>
              <w:jc w:val="left"/>
            </w:pPr>
            <w:r>
              <w:t xml:space="preserve">25.1 gmacs (update + hyb_both + new_mat)</w:t>
            </w:r>
          </w:p>
        </w:tc>
        <w:tc>
          <w:tcPr/>
          <w:p>
            <w:pPr>
              <w:pStyle w:val="Compact"/>
              <w:jc w:val="right"/>
            </w:pPr>
            <w:r>
              <w:t xml:space="preserve">160.35</w:t>
            </w:r>
          </w:p>
        </w:tc>
        <w:tc>
          <w:tcPr/>
          <w:p>
            <w:pPr>
              <w:pStyle w:val="Compact"/>
              <w:jc w:val="right"/>
            </w:pPr>
            <w:r>
              <w:t xml:space="preserve">1.02</w:t>
            </w:r>
          </w:p>
        </w:tc>
        <w:tc>
          <w:tcPr/>
          <w:p>
            <w:pPr>
              <w:pStyle w:val="Compact"/>
              <w:jc w:val="right"/>
            </w:pPr>
            <w:r>
              <w:t xml:space="preserve">43.28</w:t>
            </w:r>
          </w:p>
        </w:tc>
        <w:tc>
          <w:tcPr/>
          <w:p>
            <w:pPr>
              <w:pStyle w:val="Compact"/>
              <w:jc w:val="right"/>
            </w:pPr>
            <w:r>
              <w:t xml:space="preserve">43.28</w:t>
            </w:r>
          </w:p>
        </w:tc>
        <w:tc>
          <w:tcPr/>
          <w:p>
            <w:pPr>
              <w:pStyle w:val="Compact"/>
              <w:jc w:val="right"/>
            </w:pPr>
            <w:r>
              <w:t xml:space="preserve">55.74</w:t>
            </w:r>
          </w:p>
        </w:tc>
      </w:tr>
    </w:tbl>
    <w:p/>
    <w:p>
      <w:pPr>
        <w:pStyle w:val="TableCaption"/>
      </w:pPr>
      <w:r>
        <w:t xml:space="preserve">Maximum likelihood estimates of mature male (MMB) and female (FMB) biomass. Columns 2-6 are subject to survey selectivity; columns 7-11 are population values.</w:t>
      </w:r>
    </w:p>
    <w:tbl>
      <w:tblPr>
        <w:tblStyle w:val="Table"/>
        <w:tblW w:type="pct" w:w="5000"/>
        <w:tblLayout w:type="fixed"/>
        <w:tblLook w:firstRow="1" w:lastRow="0" w:firstColumn="0" w:lastColumn="0" w:noHBand="0" w:noVBand="0" w:val="0020"/>
        <w:tblCaption w:val="Maximum likelihood estimates of mature male (MMB) and female (FMB) biomass. Columns 2-6 are subject to survey selectivity; columns 7-11 are population values."/>
      </w:tblPr>
      <w:tblGrid>
        <w:gridCol w:w="473"/>
        <w:gridCol w:w="541"/>
        <w:gridCol w:w="541"/>
        <w:gridCol w:w="609"/>
        <w:gridCol w:w="676"/>
        <w:gridCol w:w="812"/>
        <w:gridCol w:w="676"/>
        <w:gridCol w:w="676"/>
        <w:gridCol w:w="880"/>
        <w:gridCol w:w="947"/>
        <w:gridCol w:w="1083"/>
      </w:tblGrid>
      <w:tr>
        <w:trPr>
          <w:tblHeader w:val="on"/>
        </w:trPr>
        <w:tc>
          <w:tcPr/>
          <w:p>
            <w:pPr>
              <w:pStyle w:val="Compact"/>
              <w:jc w:val="left"/>
            </w:pPr>
            <w:r>
              <w:t xml:space="preserve">Year</w:t>
            </w:r>
          </w:p>
        </w:tc>
        <w:tc>
          <w:tcPr/>
          <w:p>
            <w:pPr>
              <w:pStyle w:val="Compact"/>
              <w:jc w:val="left"/>
            </w:pPr>
            <w:r>
              <w:t xml:space="preserve">FMB</w:t>
            </w:r>
          </w:p>
        </w:tc>
        <w:tc>
          <w:tcPr/>
          <w:p>
            <w:pPr>
              <w:pStyle w:val="Compact"/>
              <w:jc w:val="left"/>
            </w:pPr>
            <w:r>
              <w:t xml:space="preserve">MMB</w:t>
            </w:r>
          </w:p>
        </w:tc>
        <w:tc>
          <w:tcPr/>
          <w:p>
            <w:pPr>
              <w:pStyle w:val="Compact"/>
              <w:jc w:val="left"/>
            </w:pPr>
            <w:r>
              <w:t xml:space="preserve">MMB_95</w:t>
            </w:r>
          </w:p>
        </w:tc>
        <w:tc>
          <w:tcPr/>
          <w:p>
            <w:pPr>
              <w:pStyle w:val="Compact"/>
              <w:jc w:val="left"/>
            </w:pPr>
            <w:r>
              <w:t xml:space="preserve">MMB_101</w:t>
            </w:r>
          </w:p>
        </w:tc>
        <w:tc>
          <w:tcPr/>
          <w:p>
            <w:pPr>
              <w:pStyle w:val="Compact"/>
              <w:jc w:val="left"/>
            </w:pPr>
            <w:r>
              <w:t xml:space="preserve">Abund_101</w:t>
            </w:r>
          </w:p>
        </w:tc>
        <w:tc>
          <w:tcPr/>
          <w:p>
            <w:pPr>
              <w:pStyle w:val="Compact"/>
              <w:jc w:val="left"/>
            </w:pPr>
            <w:r>
              <w:t xml:space="preserve">FMB_tot</w:t>
            </w:r>
          </w:p>
        </w:tc>
        <w:tc>
          <w:tcPr/>
          <w:p>
            <w:pPr>
              <w:pStyle w:val="Compact"/>
              <w:jc w:val="left"/>
            </w:pPr>
            <w:r>
              <w:t xml:space="preserve">MMB_tot</w:t>
            </w:r>
          </w:p>
        </w:tc>
        <w:tc>
          <w:tcPr/>
          <w:p>
            <w:pPr>
              <w:pStyle w:val="Compact"/>
              <w:jc w:val="left"/>
            </w:pPr>
            <w:r>
              <w:t xml:space="preserve">MMB_95_tot</w:t>
            </w:r>
          </w:p>
        </w:tc>
        <w:tc>
          <w:tcPr/>
          <w:p>
            <w:pPr>
              <w:pStyle w:val="Compact"/>
              <w:jc w:val="left"/>
            </w:pPr>
            <w:r>
              <w:t xml:space="preserve">MMB_101_tot</w:t>
            </w:r>
          </w:p>
        </w:tc>
        <w:tc>
          <w:tcPr/>
          <w:p>
            <w:pPr>
              <w:pStyle w:val="Compact"/>
              <w:jc w:val="left"/>
            </w:pPr>
            <w:r>
              <w:t xml:space="preserve">Abund_101_tot</w:t>
            </w:r>
          </w:p>
        </w:tc>
      </w:tr>
      <w:tr>
        <w:tc>
          <w:tcPr/>
          <w:p>
            <w:pPr>
              <w:pStyle w:val="Compact"/>
              <w:jc w:val="left"/>
            </w:pPr>
            <w:r>
              <w:t xml:space="preserve">1982</w:t>
            </w:r>
          </w:p>
        </w:tc>
        <w:tc>
          <w:tcPr/>
          <w:p>
            <w:pPr>
              <w:pStyle w:val="Compact"/>
              <w:jc w:val="left"/>
            </w:pPr>
            <w:r>
              <w:t xml:space="preserve">71.23</w:t>
            </w:r>
          </w:p>
        </w:tc>
        <w:tc>
          <w:tcPr/>
          <w:p>
            <w:pPr>
              <w:pStyle w:val="Compact"/>
              <w:jc w:val="left"/>
            </w:pPr>
            <w:r>
              <w:t xml:space="preserve">111.6</w:t>
            </w:r>
          </w:p>
        </w:tc>
        <w:tc>
          <w:tcPr/>
          <w:p>
            <w:pPr>
              <w:pStyle w:val="Compact"/>
              <w:jc w:val="left"/>
            </w:pPr>
            <w:r>
              <w:t xml:space="preserve">111</w:t>
            </w:r>
          </w:p>
        </w:tc>
        <w:tc>
          <w:tcPr/>
          <w:p>
            <w:pPr>
              <w:pStyle w:val="Compact"/>
              <w:jc w:val="left"/>
            </w:pPr>
            <w:r>
              <w:t xml:space="preserve">81.8</w:t>
            </w:r>
          </w:p>
        </w:tc>
        <w:tc>
          <w:tcPr/>
          <w:p>
            <w:pPr>
              <w:pStyle w:val="Compact"/>
              <w:jc w:val="left"/>
            </w:pPr>
            <w:r>
              <w:t xml:space="preserve">151.5</w:t>
            </w:r>
          </w:p>
        </w:tc>
        <w:tc>
          <w:tcPr/>
          <w:p>
            <w:pPr>
              <w:pStyle w:val="Compact"/>
              <w:jc w:val="left"/>
            </w:pPr>
            <w:r>
              <w:t xml:space="preserve">158.1</w:t>
            </w:r>
          </w:p>
        </w:tc>
        <w:tc>
          <w:tcPr/>
          <w:p>
            <w:pPr>
              <w:pStyle w:val="Compact"/>
              <w:jc w:val="left"/>
            </w:pPr>
            <w:r>
              <w:t xml:space="preserve">277.2</w:t>
            </w:r>
          </w:p>
        </w:tc>
        <w:tc>
          <w:tcPr/>
          <w:p>
            <w:pPr>
              <w:pStyle w:val="Compact"/>
              <w:jc w:val="left"/>
            </w:pPr>
            <w:r>
              <w:t xml:space="preserve">162.9</w:t>
            </w:r>
          </w:p>
        </w:tc>
        <w:tc>
          <w:tcPr/>
          <w:p>
            <w:pPr>
              <w:pStyle w:val="Compact"/>
              <w:jc w:val="left"/>
            </w:pPr>
            <w:r>
              <w:t xml:space="preserve">111.4</w:t>
            </w:r>
          </w:p>
        </w:tc>
        <w:tc>
          <w:tcPr/>
          <w:p>
            <w:pPr>
              <w:pStyle w:val="Compact"/>
              <w:jc w:val="left"/>
            </w:pPr>
            <w:r>
              <w:t xml:space="preserve">209.7</w:t>
            </w:r>
          </w:p>
        </w:tc>
      </w:tr>
      <w:tr>
        <w:tc>
          <w:tcPr/>
          <w:p>
            <w:pPr>
              <w:pStyle w:val="Compact"/>
              <w:jc w:val="left"/>
            </w:pPr>
            <w:r>
              <w:t xml:space="preserve">1983</w:t>
            </w:r>
          </w:p>
        </w:tc>
        <w:tc>
          <w:tcPr/>
          <w:p>
            <w:pPr>
              <w:pStyle w:val="Compact"/>
              <w:jc w:val="left"/>
            </w:pPr>
            <w:r>
              <w:t xml:space="preserve">54.5</w:t>
            </w:r>
          </w:p>
        </w:tc>
        <w:tc>
          <w:tcPr/>
          <w:p>
            <w:pPr>
              <w:pStyle w:val="Compact"/>
              <w:jc w:val="left"/>
            </w:pPr>
            <w:r>
              <w:t xml:space="preserve">166.7</w:t>
            </w:r>
          </w:p>
        </w:tc>
        <w:tc>
          <w:tcPr/>
          <w:p>
            <w:pPr>
              <w:pStyle w:val="Compact"/>
              <w:jc w:val="left"/>
            </w:pPr>
            <w:r>
              <w:t xml:space="preserve">147.3</w:t>
            </w:r>
          </w:p>
        </w:tc>
        <w:tc>
          <w:tcPr/>
          <w:p>
            <w:pPr>
              <w:pStyle w:val="Compact"/>
              <w:jc w:val="left"/>
            </w:pPr>
            <w:r>
              <w:t xml:space="preserve">113.7</w:t>
            </w:r>
          </w:p>
        </w:tc>
        <w:tc>
          <w:tcPr/>
          <w:p>
            <w:pPr>
              <w:pStyle w:val="Compact"/>
              <w:jc w:val="left"/>
            </w:pPr>
            <w:r>
              <w:t xml:space="preserve">198.6</w:t>
            </w:r>
          </w:p>
        </w:tc>
        <w:tc>
          <w:tcPr/>
          <w:p>
            <w:pPr>
              <w:pStyle w:val="Compact"/>
              <w:jc w:val="left"/>
            </w:pPr>
            <w:r>
              <w:t xml:space="preserve">126.7</w:t>
            </w:r>
          </w:p>
        </w:tc>
        <w:tc>
          <w:tcPr/>
          <w:p>
            <w:pPr>
              <w:pStyle w:val="Compact"/>
              <w:jc w:val="left"/>
            </w:pPr>
            <w:r>
              <w:t xml:space="preserve">403.5</w:t>
            </w:r>
          </w:p>
        </w:tc>
        <w:tc>
          <w:tcPr/>
          <w:p>
            <w:pPr>
              <w:pStyle w:val="Compact"/>
              <w:jc w:val="left"/>
            </w:pPr>
            <w:r>
              <w:t xml:space="preserve">210.9</w:t>
            </w:r>
          </w:p>
        </w:tc>
        <w:tc>
          <w:tcPr/>
          <w:p>
            <w:pPr>
              <w:pStyle w:val="Compact"/>
              <w:jc w:val="left"/>
            </w:pPr>
            <w:r>
              <w:t xml:space="preserve">149.7</w:t>
            </w:r>
          </w:p>
        </w:tc>
        <w:tc>
          <w:tcPr/>
          <w:p>
            <w:pPr>
              <w:pStyle w:val="Compact"/>
              <w:jc w:val="left"/>
            </w:pPr>
            <w:r>
              <w:t xml:space="preserve">266.5</w:t>
            </w:r>
          </w:p>
        </w:tc>
      </w:tr>
      <w:tr>
        <w:tc>
          <w:tcPr/>
          <w:p>
            <w:pPr>
              <w:pStyle w:val="Compact"/>
              <w:jc w:val="left"/>
            </w:pPr>
            <w:r>
              <w:t xml:space="preserve">1984</w:t>
            </w:r>
          </w:p>
        </w:tc>
        <w:tc>
          <w:tcPr/>
          <w:p>
            <w:pPr>
              <w:pStyle w:val="Compact"/>
              <w:jc w:val="left"/>
            </w:pPr>
            <w:r>
              <w:t xml:space="preserve">42.39</w:t>
            </w:r>
          </w:p>
        </w:tc>
        <w:tc>
          <w:tcPr/>
          <w:p>
            <w:pPr>
              <w:pStyle w:val="Compact"/>
              <w:jc w:val="left"/>
            </w:pPr>
            <w:r>
              <w:t xml:space="preserve">213.2</w:t>
            </w:r>
          </w:p>
        </w:tc>
        <w:tc>
          <w:tcPr/>
          <w:p>
            <w:pPr>
              <w:pStyle w:val="Compact"/>
              <w:jc w:val="left"/>
            </w:pPr>
            <w:r>
              <w:t xml:space="preserve">190.7</w:t>
            </w:r>
          </w:p>
        </w:tc>
        <w:tc>
          <w:tcPr/>
          <w:p>
            <w:pPr>
              <w:pStyle w:val="Compact"/>
              <w:jc w:val="left"/>
            </w:pPr>
            <w:r>
              <w:t xml:space="preserve">152.1</w:t>
            </w:r>
          </w:p>
        </w:tc>
        <w:tc>
          <w:tcPr/>
          <w:p>
            <w:pPr>
              <w:pStyle w:val="Compact"/>
              <w:jc w:val="left"/>
            </w:pPr>
            <w:r>
              <w:t xml:space="preserve">251.5</w:t>
            </w:r>
          </w:p>
        </w:tc>
        <w:tc>
          <w:tcPr/>
          <w:p>
            <w:pPr>
              <w:pStyle w:val="Compact"/>
              <w:jc w:val="left"/>
            </w:pPr>
            <w:r>
              <w:t xml:space="preserve">110.6</w:t>
            </w:r>
          </w:p>
        </w:tc>
        <w:tc>
          <w:tcPr/>
          <w:p>
            <w:pPr>
              <w:pStyle w:val="Compact"/>
              <w:jc w:val="left"/>
            </w:pPr>
            <w:r>
              <w:t xml:space="preserve">497.2</w:t>
            </w:r>
          </w:p>
        </w:tc>
        <w:tc>
          <w:tcPr/>
          <w:p>
            <w:pPr>
              <w:pStyle w:val="Compact"/>
              <w:jc w:val="left"/>
            </w:pPr>
            <w:r>
              <w:t xml:space="preserve">267.1</w:t>
            </w:r>
          </w:p>
        </w:tc>
        <w:tc>
          <w:tcPr/>
          <w:p>
            <w:pPr>
              <w:pStyle w:val="Compact"/>
              <w:jc w:val="left"/>
            </w:pPr>
            <w:r>
              <w:t xml:space="preserve">195.4</w:t>
            </w:r>
          </w:p>
        </w:tc>
        <w:tc>
          <w:tcPr/>
          <w:p>
            <w:pPr>
              <w:pStyle w:val="Compact"/>
              <w:jc w:val="left"/>
            </w:pPr>
            <w:r>
              <w:t xml:space="preserve">330.4</w:t>
            </w:r>
          </w:p>
        </w:tc>
      </w:tr>
      <w:tr>
        <w:tc>
          <w:tcPr/>
          <w:p>
            <w:pPr>
              <w:pStyle w:val="Compact"/>
              <w:jc w:val="left"/>
            </w:pPr>
            <w:r>
              <w:t xml:space="preserve">1985</w:t>
            </w:r>
          </w:p>
        </w:tc>
        <w:tc>
          <w:tcPr/>
          <w:p>
            <w:pPr>
              <w:pStyle w:val="Compact"/>
              <w:jc w:val="left"/>
            </w:pPr>
            <w:r>
              <w:t xml:space="preserve">35.26</w:t>
            </w:r>
          </w:p>
        </w:tc>
        <w:tc>
          <w:tcPr/>
          <w:p>
            <w:pPr>
              <w:pStyle w:val="Compact"/>
              <w:jc w:val="left"/>
            </w:pPr>
            <w:r>
              <w:t xml:space="preserve">227.4</w:t>
            </w:r>
          </w:p>
        </w:tc>
        <w:tc>
          <w:tcPr/>
          <w:p>
            <w:pPr>
              <w:pStyle w:val="Compact"/>
              <w:jc w:val="left"/>
            </w:pPr>
            <w:r>
              <w:t xml:space="preserve">199.2</w:t>
            </w:r>
          </w:p>
        </w:tc>
        <w:tc>
          <w:tcPr/>
          <w:p>
            <w:pPr>
              <w:pStyle w:val="Compact"/>
              <w:jc w:val="left"/>
            </w:pPr>
            <w:r>
              <w:t xml:space="preserve">160.8</w:t>
            </w:r>
          </w:p>
        </w:tc>
        <w:tc>
          <w:tcPr/>
          <w:p>
            <w:pPr>
              <w:pStyle w:val="Compact"/>
              <w:jc w:val="left"/>
            </w:pPr>
            <w:r>
              <w:t xml:space="preserve">258.2</w:t>
            </w:r>
          </w:p>
        </w:tc>
        <w:tc>
          <w:tcPr/>
          <w:p>
            <w:pPr>
              <w:pStyle w:val="Compact"/>
              <w:jc w:val="left"/>
            </w:pPr>
            <w:r>
              <w:t xml:space="preserve">163.5</w:t>
            </w:r>
          </w:p>
        </w:tc>
        <w:tc>
          <w:tcPr/>
          <w:p>
            <w:pPr>
              <w:pStyle w:val="Compact"/>
              <w:jc w:val="left"/>
            </w:pPr>
            <w:r>
              <w:t xml:space="preserve">522.9</w:t>
            </w:r>
          </w:p>
        </w:tc>
        <w:tc>
          <w:tcPr/>
          <w:p>
            <w:pPr>
              <w:pStyle w:val="Compact"/>
              <w:jc w:val="left"/>
            </w:pPr>
            <w:r>
              <w:t xml:space="preserve">276.4</w:t>
            </w:r>
          </w:p>
        </w:tc>
        <w:tc>
          <w:tcPr/>
          <w:p>
            <w:pPr>
              <w:pStyle w:val="Compact"/>
              <w:jc w:val="left"/>
            </w:pPr>
            <w:r>
              <w:t xml:space="preserve">204.1</w:t>
            </w:r>
          </w:p>
        </w:tc>
        <w:tc>
          <w:tcPr/>
          <w:p>
            <w:pPr>
              <w:pStyle w:val="Compact"/>
              <w:jc w:val="left"/>
            </w:pPr>
            <w:r>
              <w:t xml:space="preserve">335.5</w:t>
            </w:r>
          </w:p>
        </w:tc>
      </w:tr>
      <w:tr>
        <w:tc>
          <w:tcPr/>
          <w:p>
            <w:pPr>
              <w:pStyle w:val="Compact"/>
              <w:jc w:val="left"/>
            </w:pPr>
            <w:r>
              <w:t xml:space="preserve">1986</w:t>
            </w:r>
          </w:p>
        </w:tc>
        <w:tc>
          <w:tcPr/>
          <w:p>
            <w:pPr>
              <w:pStyle w:val="Compact"/>
              <w:jc w:val="left"/>
            </w:pPr>
            <w:r>
              <w:t xml:space="preserve">39.41</w:t>
            </w:r>
          </w:p>
        </w:tc>
        <w:tc>
          <w:tcPr/>
          <w:p>
            <w:pPr>
              <w:pStyle w:val="Compact"/>
              <w:jc w:val="left"/>
            </w:pPr>
            <w:r>
              <w:t xml:space="preserve">221.9</w:t>
            </w:r>
          </w:p>
        </w:tc>
        <w:tc>
          <w:tcPr/>
          <w:p>
            <w:pPr>
              <w:pStyle w:val="Compact"/>
              <w:jc w:val="left"/>
            </w:pPr>
            <w:r>
              <w:t xml:space="preserve">176.5</w:t>
            </w:r>
          </w:p>
        </w:tc>
        <w:tc>
          <w:tcPr/>
          <w:p>
            <w:pPr>
              <w:pStyle w:val="Compact"/>
              <w:jc w:val="left"/>
            </w:pPr>
            <w:r>
              <w:t xml:space="preserve">142.3</w:t>
            </w:r>
          </w:p>
        </w:tc>
        <w:tc>
          <w:tcPr/>
          <w:p>
            <w:pPr>
              <w:pStyle w:val="Compact"/>
              <w:jc w:val="left"/>
            </w:pPr>
            <w:r>
              <w:t xml:space="preserve">226.1</w:t>
            </w:r>
          </w:p>
        </w:tc>
        <w:tc>
          <w:tcPr/>
          <w:p>
            <w:pPr>
              <w:pStyle w:val="Compact"/>
              <w:jc w:val="left"/>
            </w:pPr>
            <w:r>
              <w:t xml:space="preserve">363.7</w:t>
            </w:r>
          </w:p>
        </w:tc>
        <w:tc>
          <w:tcPr/>
          <w:p>
            <w:pPr>
              <w:pStyle w:val="Compact"/>
              <w:jc w:val="left"/>
            </w:pPr>
            <w:r>
              <w:t xml:space="preserve">519.3</w:t>
            </w:r>
          </w:p>
        </w:tc>
        <w:tc>
          <w:tcPr/>
          <w:p>
            <w:pPr>
              <w:pStyle w:val="Compact"/>
              <w:jc w:val="left"/>
            </w:pPr>
            <w:r>
              <w:t xml:space="preserve">244.8</w:t>
            </w:r>
          </w:p>
        </w:tc>
        <w:tc>
          <w:tcPr/>
          <w:p>
            <w:pPr>
              <w:pStyle w:val="Compact"/>
              <w:jc w:val="left"/>
            </w:pPr>
            <w:r>
              <w:t xml:space="preserve">179.9</w:t>
            </w:r>
          </w:p>
        </w:tc>
        <w:tc>
          <w:tcPr/>
          <w:p>
            <w:pPr>
              <w:pStyle w:val="Compact"/>
              <w:jc w:val="left"/>
            </w:pPr>
            <w:r>
              <w:t xml:space="preserve">292.5</w:t>
            </w:r>
          </w:p>
        </w:tc>
      </w:tr>
      <w:tr>
        <w:tc>
          <w:tcPr/>
          <w:p>
            <w:pPr>
              <w:pStyle w:val="Compact"/>
              <w:jc w:val="left"/>
            </w:pPr>
            <w:r>
              <w:t xml:space="preserve">1987</w:t>
            </w:r>
          </w:p>
        </w:tc>
        <w:tc>
          <w:tcPr/>
          <w:p>
            <w:pPr>
              <w:pStyle w:val="Compact"/>
              <w:jc w:val="left"/>
            </w:pPr>
            <w:r>
              <w:t xml:space="preserve">75.27</w:t>
            </w:r>
          </w:p>
        </w:tc>
        <w:tc>
          <w:tcPr/>
          <w:p>
            <w:pPr>
              <w:pStyle w:val="Compact"/>
              <w:jc w:val="left"/>
            </w:pPr>
            <w:r>
              <w:t xml:space="preserve">222.8</w:t>
            </w:r>
          </w:p>
        </w:tc>
        <w:tc>
          <w:tcPr/>
          <w:p>
            <w:pPr>
              <w:pStyle w:val="Compact"/>
              <w:jc w:val="left"/>
            </w:pPr>
            <w:r>
              <w:t xml:space="preserve">151.8</w:t>
            </w:r>
          </w:p>
        </w:tc>
        <w:tc>
          <w:tcPr/>
          <w:p>
            <w:pPr>
              <w:pStyle w:val="Compact"/>
              <w:jc w:val="left"/>
            </w:pPr>
            <w:r>
              <w:t xml:space="preserve">117.3</w:t>
            </w:r>
          </w:p>
        </w:tc>
        <w:tc>
          <w:tcPr/>
          <w:p>
            <w:pPr>
              <w:pStyle w:val="Compact"/>
              <w:jc w:val="left"/>
            </w:pPr>
            <w:r>
              <w:t xml:space="preserve">188.1</w:t>
            </w:r>
          </w:p>
        </w:tc>
        <w:tc>
          <w:tcPr/>
          <w:p>
            <w:pPr>
              <w:pStyle w:val="Compact"/>
              <w:jc w:val="left"/>
            </w:pPr>
            <w:r>
              <w:t xml:space="preserve">473.8</w:t>
            </w:r>
          </w:p>
        </w:tc>
        <w:tc>
          <w:tcPr/>
          <w:p>
            <w:pPr>
              <w:pStyle w:val="Compact"/>
              <w:jc w:val="left"/>
            </w:pPr>
            <w:r>
              <w:t xml:space="preserve">540.3</w:t>
            </w:r>
          </w:p>
        </w:tc>
        <w:tc>
          <w:tcPr/>
          <w:p>
            <w:pPr>
              <w:pStyle w:val="Compact"/>
              <w:jc w:val="left"/>
            </w:pPr>
            <w:r>
              <w:t xml:space="preserve">215.3</w:t>
            </w:r>
          </w:p>
        </w:tc>
        <w:tc>
          <w:tcPr/>
          <w:p>
            <w:pPr>
              <w:pStyle w:val="Compact"/>
              <w:jc w:val="left"/>
            </w:pPr>
            <w:r>
              <w:t xml:space="preserve">149.1</w:t>
            </w:r>
          </w:p>
        </w:tc>
        <w:tc>
          <w:tcPr/>
          <w:p>
            <w:pPr>
              <w:pStyle w:val="Compact"/>
              <w:jc w:val="left"/>
            </w:pPr>
            <w:r>
              <w:t xml:space="preserve">244.8</w:t>
            </w:r>
          </w:p>
        </w:tc>
      </w:tr>
      <w:tr>
        <w:tc>
          <w:tcPr/>
          <w:p>
            <w:pPr>
              <w:pStyle w:val="Compact"/>
              <w:jc w:val="left"/>
            </w:pPr>
            <w:r>
              <w:t xml:space="preserve">1988</w:t>
            </w:r>
          </w:p>
        </w:tc>
        <w:tc>
          <w:tcPr/>
          <w:p>
            <w:pPr>
              <w:pStyle w:val="Compact"/>
              <w:jc w:val="left"/>
            </w:pPr>
            <w:r>
              <w:t xml:space="preserve">131.4</w:t>
            </w:r>
          </w:p>
        </w:tc>
        <w:tc>
          <w:tcPr/>
          <w:p>
            <w:pPr>
              <w:pStyle w:val="Compact"/>
              <w:jc w:val="left"/>
            </w:pPr>
            <w:r>
              <w:t xml:space="preserve">242.5</w:t>
            </w:r>
          </w:p>
        </w:tc>
        <w:tc>
          <w:tcPr/>
          <w:p>
            <w:pPr>
              <w:pStyle w:val="Compact"/>
              <w:jc w:val="left"/>
            </w:pPr>
            <w:r>
              <w:t xml:space="preserve">155.9</w:t>
            </w:r>
          </w:p>
        </w:tc>
        <w:tc>
          <w:tcPr/>
          <w:p>
            <w:pPr>
              <w:pStyle w:val="Compact"/>
              <w:jc w:val="left"/>
            </w:pPr>
            <w:r>
              <w:t xml:space="preserve">118.1</w:t>
            </w:r>
          </w:p>
        </w:tc>
        <w:tc>
          <w:tcPr/>
          <w:p>
            <w:pPr>
              <w:pStyle w:val="Compact"/>
              <w:jc w:val="left"/>
            </w:pPr>
            <w:r>
              <w:t xml:space="preserve">191.6</w:t>
            </w:r>
          </w:p>
        </w:tc>
        <w:tc>
          <w:tcPr/>
          <w:p>
            <w:pPr>
              <w:pStyle w:val="Compact"/>
              <w:jc w:val="left"/>
            </w:pPr>
            <w:r>
              <w:t xml:space="preserve">479.2</w:t>
            </w:r>
          </w:p>
        </w:tc>
        <w:tc>
          <w:tcPr/>
          <w:p>
            <w:pPr>
              <w:pStyle w:val="Compact"/>
              <w:jc w:val="left"/>
            </w:pPr>
            <w:r>
              <w:t xml:space="preserve">595.2</w:t>
            </w:r>
          </w:p>
        </w:tc>
        <w:tc>
          <w:tcPr/>
          <w:p>
            <w:pPr>
              <w:pStyle w:val="Compact"/>
              <w:jc w:val="left"/>
            </w:pPr>
            <w:r>
              <w:t xml:space="preserve">223.6</w:t>
            </w:r>
          </w:p>
        </w:tc>
        <w:tc>
          <w:tcPr/>
          <w:p>
            <w:pPr>
              <w:pStyle w:val="Compact"/>
              <w:jc w:val="left"/>
            </w:pPr>
            <w:r>
              <w:t xml:space="preserve">150.6</w:t>
            </w:r>
          </w:p>
        </w:tc>
        <w:tc>
          <w:tcPr/>
          <w:p>
            <w:pPr>
              <w:pStyle w:val="Compact"/>
              <w:jc w:val="left"/>
            </w:pPr>
            <w:r>
              <w:t xml:space="preserve">249.9</w:t>
            </w:r>
          </w:p>
        </w:tc>
      </w:tr>
      <w:tr>
        <w:tc>
          <w:tcPr/>
          <w:p>
            <w:pPr>
              <w:pStyle w:val="Compact"/>
              <w:jc w:val="left"/>
            </w:pPr>
            <w:r>
              <w:t xml:space="preserve">1989</w:t>
            </w:r>
          </w:p>
        </w:tc>
        <w:tc>
          <w:tcPr/>
          <w:p>
            <w:pPr>
              <w:pStyle w:val="Compact"/>
              <w:jc w:val="left"/>
            </w:pPr>
            <w:r>
              <w:t xml:space="preserve">197.1</w:t>
            </w:r>
          </w:p>
        </w:tc>
        <w:tc>
          <w:tcPr/>
          <w:p>
            <w:pPr>
              <w:pStyle w:val="Compact"/>
              <w:jc w:val="left"/>
            </w:pPr>
            <w:r>
              <w:t xml:space="preserve">282.1</w:t>
            </w:r>
          </w:p>
        </w:tc>
        <w:tc>
          <w:tcPr/>
          <w:p>
            <w:pPr>
              <w:pStyle w:val="Compact"/>
              <w:jc w:val="left"/>
            </w:pPr>
            <w:r>
              <w:t xml:space="preserve">171</w:t>
            </w:r>
          </w:p>
        </w:tc>
        <w:tc>
          <w:tcPr/>
          <w:p>
            <w:pPr>
              <w:pStyle w:val="Compact"/>
              <w:jc w:val="left"/>
            </w:pPr>
            <w:r>
              <w:t xml:space="preserve">129.6</w:t>
            </w:r>
          </w:p>
        </w:tc>
        <w:tc>
          <w:tcPr/>
          <w:p>
            <w:pPr>
              <w:pStyle w:val="Compact"/>
              <w:jc w:val="left"/>
            </w:pPr>
            <w:r>
              <w:t xml:space="preserve">208.9</w:t>
            </w:r>
          </w:p>
        </w:tc>
        <w:tc>
          <w:tcPr/>
          <w:p>
            <w:pPr>
              <w:pStyle w:val="Compact"/>
              <w:jc w:val="left"/>
            </w:pPr>
            <w:r>
              <w:t xml:space="preserve">420</w:t>
            </w:r>
          </w:p>
        </w:tc>
        <w:tc>
          <w:tcPr/>
          <w:p>
            <w:pPr>
              <w:pStyle w:val="Compact"/>
              <w:jc w:val="left"/>
            </w:pPr>
            <w:r>
              <w:t xml:space="preserve">603.2</w:t>
            </w:r>
          </w:p>
        </w:tc>
        <w:tc>
          <w:tcPr/>
          <w:p>
            <w:pPr>
              <w:pStyle w:val="Compact"/>
              <w:jc w:val="left"/>
            </w:pPr>
            <w:r>
              <w:t xml:space="preserve">245.1</w:t>
            </w:r>
          </w:p>
        </w:tc>
        <w:tc>
          <w:tcPr/>
          <w:p>
            <w:pPr>
              <w:pStyle w:val="Compact"/>
              <w:jc w:val="left"/>
            </w:pPr>
            <w:r>
              <w:t xml:space="preserve">164.7</w:t>
            </w:r>
          </w:p>
        </w:tc>
        <w:tc>
          <w:tcPr/>
          <w:p>
            <w:pPr>
              <w:pStyle w:val="Compact"/>
              <w:jc w:val="left"/>
            </w:pPr>
            <w:r>
              <w:t xml:space="preserve">271.7</w:t>
            </w:r>
          </w:p>
        </w:tc>
      </w:tr>
      <w:tr>
        <w:tc>
          <w:tcPr/>
          <w:p>
            <w:pPr>
              <w:pStyle w:val="Compact"/>
              <w:jc w:val="left"/>
            </w:pPr>
            <w:r>
              <w:t xml:space="preserve">1990</w:t>
            </w:r>
          </w:p>
        </w:tc>
        <w:tc>
          <w:tcPr/>
          <w:p>
            <w:pPr>
              <w:pStyle w:val="Compact"/>
              <w:jc w:val="left"/>
            </w:pPr>
            <w:r>
              <w:t xml:space="preserve">178.9</w:t>
            </w:r>
          </w:p>
        </w:tc>
        <w:tc>
          <w:tcPr/>
          <w:p>
            <w:pPr>
              <w:pStyle w:val="Compact"/>
              <w:jc w:val="left"/>
            </w:pPr>
            <w:r>
              <w:t xml:space="preserve">292.1</w:t>
            </w:r>
          </w:p>
        </w:tc>
        <w:tc>
          <w:tcPr/>
          <w:p>
            <w:pPr>
              <w:pStyle w:val="Compact"/>
              <w:jc w:val="left"/>
            </w:pPr>
            <w:r>
              <w:t xml:space="preserve">183.6</w:t>
            </w:r>
          </w:p>
        </w:tc>
        <w:tc>
          <w:tcPr/>
          <w:p>
            <w:pPr>
              <w:pStyle w:val="Compact"/>
              <w:jc w:val="left"/>
            </w:pPr>
            <w:r>
              <w:t xml:space="preserve">140.1</w:t>
            </w:r>
          </w:p>
        </w:tc>
        <w:tc>
          <w:tcPr/>
          <w:p>
            <w:pPr>
              <w:pStyle w:val="Compact"/>
              <w:jc w:val="left"/>
            </w:pPr>
            <w:r>
              <w:t xml:space="preserve">227.1</w:t>
            </w:r>
          </w:p>
        </w:tc>
        <w:tc>
          <w:tcPr/>
          <w:p>
            <w:pPr>
              <w:pStyle w:val="Compact"/>
              <w:jc w:val="left"/>
            </w:pPr>
            <w:r>
              <w:t xml:space="preserve">375.7</w:t>
            </w:r>
          </w:p>
        </w:tc>
        <w:tc>
          <w:tcPr/>
          <w:p>
            <w:pPr>
              <w:pStyle w:val="Compact"/>
              <w:jc w:val="left"/>
            </w:pPr>
            <w:r>
              <w:t xml:space="preserve">609.1</w:t>
            </w:r>
          </w:p>
        </w:tc>
        <w:tc>
          <w:tcPr/>
          <w:p>
            <w:pPr>
              <w:pStyle w:val="Compact"/>
              <w:jc w:val="left"/>
            </w:pPr>
            <w:r>
              <w:t xml:space="preserve">262.6</w:t>
            </w:r>
          </w:p>
        </w:tc>
        <w:tc>
          <w:tcPr/>
          <w:p>
            <w:pPr>
              <w:pStyle w:val="Compact"/>
              <w:jc w:val="left"/>
            </w:pPr>
            <w:r>
              <w:t xml:space="preserve">178</w:t>
            </w:r>
          </w:p>
        </w:tc>
        <w:tc>
          <w:tcPr/>
          <w:p>
            <w:pPr>
              <w:pStyle w:val="Compact"/>
              <w:jc w:val="left"/>
            </w:pPr>
            <w:r>
              <w:t xml:space="preserve">294.9</w:t>
            </w:r>
          </w:p>
        </w:tc>
      </w:tr>
      <w:tr>
        <w:tc>
          <w:tcPr/>
          <w:p>
            <w:pPr>
              <w:pStyle w:val="Compact"/>
              <w:jc w:val="left"/>
            </w:pPr>
            <w:r>
              <w:t xml:space="preserve">1991</w:t>
            </w:r>
          </w:p>
        </w:tc>
        <w:tc>
          <w:tcPr/>
          <w:p>
            <w:pPr>
              <w:pStyle w:val="Compact"/>
              <w:jc w:val="left"/>
            </w:pPr>
            <w:r>
              <w:t xml:space="preserve">151.4</w:t>
            </w:r>
          </w:p>
        </w:tc>
        <w:tc>
          <w:tcPr/>
          <w:p>
            <w:pPr>
              <w:pStyle w:val="Compact"/>
              <w:jc w:val="left"/>
            </w:pPr>
            <w:r>
              <w:t xml:space="preserve">295.5</w:t>
            </w:r>
          </w:p>
        </w:tc>
        <w:tc>
          <w:tcPr/>
          <w:p>
            <w:pPr>
              <w:pStyle w:val="Compact"/>
              <w:jc w:val="left"/>
            </w:pPr>
            <w:r>
              <w:t xml:space="preserve">202.4</w:t>
            </w:r>
          </w:p>
        </w:tc>
        <w:tc>
          <w:tcPr/>
          <w:p>
            <w:pPr>
              <w:pStyle w:val="Compact"/>
              <w:jc w:val="left"/>
            </w:pPr>
            <w:r>
              <w:t xml:space="preserve">167.7</w:t>
            </w:r>
          </w:p>
        </w:tc>
        <w:tc>
          <w:tcPr/>
          <w:p>
            <w:pPr>
              <w:pStyle w:val="Compact"/>
              <w:jc w:val="left"/>
            </w:pPr>
            <w:r>
              <w:t xml:space="preserve">257</w:t>
            </w:r>
          </w:p>
        </w:tc>
        <w:tc>
          <w:tcPr/>
          <w:p>
            <w:pPr>
              <w:pStyle w:val="Compact"/>
              <w:jc w:val="left"/>
            </w:pPr>
            <w:r>
              <w:t xml:space="preserve">317.2</w:t>
            </w:r>
          </w:p>
        </w:tc>
        <w:tc>
          <w:tcPr/>
          <w:p>
            <w:pPr>
              <w:pStyle w:val="Compact"/>
              <w:jc w:val="left"/>
            </w:pPr>
            <w:r>
              <w:t xml:space="preserve">572.8</w:t>
            </w:r>
          </w:p>
        </w:tc>
        <w:tc>
          <w:tcPr/>
          <w:p>
            <w:pPr>
              <w:pStyle w:val="Compact"/>
              <w:jc w:val="left"/>
            </w:pPr>
            <w:r>
              <w:t xml:space="preserve">275.6</w:t>
            </w:r>
          </w:p>
        </w:tc>
        <w:tc>
          <w:tcPr/>
          <w:p>
            <w:pPr>
              <w:pStyle w:val="Compact"/>
              <w:jc w:val="left"/>
            </w:pPr>
            <w:r>
              <w:t xml:space="preserve">207.6</w:t>
            </w:r>
          </w:p>
        </w:tc>
        <w:tc>
          <w:tcPr/>
          <w:p>
            <w:pPr>
              <w:pStyle w:val="Compact"/>
              <w:jc w:val="left"/>
            </w:pPr>
            <w:r>
              <w:t xml:space="preserve">324.7</w:t>
            </w:r>
          </w:p>
        </w:tc>
      </w:tr>
      <w:tr>
        <w:tc>
          <w:tcPr/>
          <w:p>
            <w:pPr>
              <w:pStyle w:val="Compact"/>
              <w:jc w:val="left"/>
            </w:pPr>
            <w:r>
              <w:t xml:space="preserve">1992</w:t>
            </w:r>
          </w:p>
        </w:tc>
        <w:tc>
          <w:tcPr/>
          <w:p>
            <w:pPr>
              <w:pStyle w:val="Compact"/>
              <w:jc w:val="left"/>
            </w:pPr>
            <w:r>
              <w:t xml:space="preserve">130.2</w:t>
            </w:r>
          </w:p>
        </w:tc>
        <w:tc>
          <w:tcPr/>
          <w:p>
            <w:pPr>
              <w:pStyle w:val="Compact"/>
              <w:jc w:val="left"/>
            </w:pPr>
            <w:r>
              <w:t xml:space="preserve">264.8</w:t>
            </w:r>
          </w:p>
        </w:tc>
        <w:tc>
          <w:tcPr/>
          <w:p>
            <w:pPr>
              <w:pStyle w:val="Compact"/>
              <w:jc w:val="left"/>
            </w:pPr>
            <w:r>
              <w:t xml:space="preserve">174.4</w:t>
            </w:r>
          </w:p>
        </w:tc>
        <w:tc>
          <w:tcPr/>
          <w:p>
            <w:pPr>
              <w:pStyle w:val="Compact"/>
              <w:jc w:val="left"/>
            </w:pPr>
            <w:r>
              <w:t xml:space="preserve">141.2</w:t>
            </w:r>
          </w:p>
        </w:tc>
        <w:tc>
          <w:tcPr/>
          <w:p>
            <w:pPr>
              <w:pStyle w:val="Compact"/>
              <w:jc w:val="left"/>
            </w:pPr>
            <w:r>
              <w:t xml:space="preserve">215.9</w:t>
            </w:r>
          </w:p>
        </w:tc>
        <w:tc>
          <w:tcPr/>
          <w:p>
            <w:pPr>
              <w:pStyle w:val="Compact"/>
              <w:jc w:val="left"/>
            </w:pPr>
            <w:r>
              <w:t xml:space="preserve">283.4</w:t>
            </w:r>
          </w:p>
        </w:tc>
        <w:tc>
          <w:tcPr/>
          <w:p>
            <w:pPr>
              <w:pStyle w:val="Compact"/>
              <w:jc w:val="left"/>
            </w:pPr>
            <w:r>
              <w:t xml:space="preserve">529.5</w:t>
            </w:r>
          </w:p>
        </w:tc>
        <w:tc>
          <w:tcPr/>
          <w:p>
            <w:pPr>
              <w:pStyle w:val="Compact"/>
              <w:jc w:val="left"/>
            </w:pPr>
            <w:r>
              <w:t xml:space="preserve">240.3</w:t>
            </w:r>
          </w:p>
        </w:tc>
        <w:tc>
          <w:tcPr/>
          <w:p>
            <w:pPr>
              <w:pStyle w:val="Compact"/>
              <w:jc w:val="left"/>
            </w:pPr>
            <w:r>
              <w:t xml:space="preserve">175.2</w:t>
            </w:r>
          </w:p>
        </w:tc>
        <w:tc>
          <w:tcPr/>
          <w:p>
            <w:pPr>
              <w:pStyle w:val="Compact"/>
              <w:jc w:val="left"/>
            </w:pPr>
            <w:r>
              <w:t xml:space="preserve">273.6</w:t>
            </w:r>
          </w:p>
        </w:tc>
      </w:tr>
      <w:tr>
        <w:tc>
          <w:tcPr/>
          <w:p>
            <w:pPr>
              <w:pStyle w:val="Compact"/>
              <w:jc w:val="left"/>
            </w:pPr>
            <w:r>
              <w:t xml:space="preserve">1993</w:t>
            </w:r>
          </w:p>
        </w:tc>
        <w:tc>
          <w:tcPr/>
          <w:p>
            <w:pPr>
              <w:pStyle w:val="Compact"/>
              <w:jc w:val="left"/>
            </w:pPr>
            <w:r>
              <w:t xml:space="preserve">113.2</w:t>
            </w:r>
          </w:p>
        </w:tc>
        <w:tc>
          <w:tcPr/>
          <w:p>
            <w:pPr>
              <w:pStyle w:val="Compact"/>
              <w:jc w:val="left"/>
            </w:pPr>
            <w:r>
              <w:t xml:space="preserve">198.6</w:t>
            </w:r>
          </w:p>
        </w:tc>
        <w:tc>
          <w:tcPr/>
          <w:p>
            <w:pPr>
              <w:pStyle w:val="Compact"/>
              <w:jc w:val="left"/>
            </w:pPr>
            <w:r>
              <w:t xml:space="preserve">107</w:t>
            </w:r>
          </w:p>
        </w:tc>
        <w:tc>
          <w:tcPr/>
          <w:p>
            <w:pPr>
              <w:pStyle w:val="Compact"/>
              <w:jc w:val="left"/>
            </w:pPr>
            <w:r>
              <w:t xml:space="preserve">77.02</w:t>
            </w:r>
          </w:p>
        </w:tc>
        <w:tc>
          <w:tcPr/>
          <w:p>
            <w:pPr>
              <w:pStyle w:val="Compact"/>
              <w:jc w:val="left"/>
            </w:pPr>
            <w:r>
              <w:t xml:space="preserve">123.8</w:t>
            </w:r>
          </w:p>
        </w:tc>
        <w:tc>
          <w:tcPr/>
          <w:p>
            <w:pPr>
              <w:pStyle w:val="Compact"/>
              <w:jc w:val="left"/>
            </w:pPr>
            <w:r>
              <w:t xml:space="preserve">256.5</w:t>
            </w:r>
          </w:p>
        </w:tc>
        <w:tc>
          <w:tcPr/>
          <w:p>
            <w:pPr>
              <w:pStyle w:val="Compact"/>
              <w:jc w:val="left"/>
            </w:pPr>
            <w:r>
              <w:t xml:space="preserve">450.6</w:t>
            </w:r>
          </w:p>
        </w:tc>
        <w:tc>
          <w:tcPr/>
          <w:p>
            <w:pPr>
              <w:pStyle w:val="Compact"/>
              <w:jc w:val="left"/>
            </w:pPr>
            <w:r>
              <w:t xml:space="preserve">157</w:t>
            </w:r>
          </w:p>
        </w:tc>
        <w:tc>
          <w:tcPr/>
          <w:p>
            <w:pPr>
              <w:pStyle w:val="Compact"/>
              <w:jc w:val="left"/>
            </w:pPr>
            <w:r>
              <w:t xml:space="preserve">97.75</w:t>
            </w:r>
          </w:p>
        </w:tc>
        <w:tc>
          <w:tcPr/>
          <w:p>
            <w:pPr>
              <w:pStyle w:val="Compact"/>
              <w:jc w:val="left"/>
            </w:pPr>
            <w:r>
              <w:t xml:space="preserve">160.9</w:t>
            </w:r>
          </w:p>
        </w:tc>
      </w:tr>
      <w:tr>
        <w:tc>
          <w:tcPr/>
          <w:p>
            <w:pPr>
              <w:pStyle w:val="Compact"/>
              <w:jc w:val="left"/>
            </w:pPr>
            <w:r>
              <w:t xml:space="preserve">1994</w:t>
            </w:r>
          </w:p>
        </w:tc>
        <w:tc>
          <w:tcPr/>
          <w:p>
            <w:pPr>
              <w:pStyle w:val="Compact"/>
              <w:jc w:val="left"/>
            </w:pPr>
            <w:r>
              <w:t xml:space="preserve">102.2</w:t>
            </w:r>
          </w:p>
        </w:tc>
        <w:tc>
          <w:tcPr/>
          <w:p>
            <w:pPr>
              <w:pStyle w:val="Compact"/>
              <w:jc w:val="left"/>
            </w:pPr>
            <w:r>
              <w:t xml:space="preserve">153.2</w:t>
            </w:r>
          </w:p>
        </w:tc>
        <w:tc>
          <w:tcPr/>
          <w:p>
            <w:pPr>
              <w:pStyle w:val="Compact"/>
              <w:jc w:val="left"/>
            </w:pPr>
            <w:r>
              <w:t xml:space="preserve">59.28</w:t>
            </w:r>
          </w:p>
        </w:tc>
        <w:tc>
          <w:tcPr/>
          <w:p>
            <w:pPr>
              <w:pStyle w:val="Compact"/>
              <w:jc w:val="left"/>
            </w:pPr>
            <w:r>
              <w:t xml:space="preserve">38.46</w:t>
            </w:r>
          </w:p>
        </w:tc>
        <w:tc>
          <w:tcPr/>
          <w:p>
            <w:pPr>
              <w:pStyle w:val="Compact"/>
              <w:jc w:val="left"/>
            </w:pPr>
            <w:r>
              <w:t xml:space="preserve">62.88</w:t>
            </w:r>
          </w:p>
        </w:tc>
        <w:tc>
          <w:tcPr/>
          <w:p>
            <w:pPr>
              <w:pStyle w:val="Compact"/>
              <w:jc w:val="left"/>
            </w:pPr>
            <w:r>
              <w:t xml:space="preserve">246</w:t>
            </w:r>
          </w:p>
        </w:tc>
        <w:tc>
          <w:tcPr/>
          <w:p>
            <w:pPr>
              <w:pStyle w:val="Compact"/>
              <w:jc w:val="left"/>
            </w:pPr>
            <w:r>
              <w:t xml:space="preserve">394.9</w:t>
            </w:r>
          </w:p>
        </w:tc>
        <w:tc>
          <w:tcPr/>
          <w:p>
            <w:pPr>
              <w:pStyle w:val="Compact"/>
              <w:jc w:val="left"/>
            </w:pPr>
            <w:r>
              <w:t xml:space="preserve">91.08</w:t>
            </w:r>
          </w:p>
        </w:tc>
        <w:tc>
          <w:tcPr/>
          <w:p>
            <w:pPr>
              <w:pStyle w:val="Compact"/>
              <w:jc w:val="left"/>
            </w:pPr>
            <w:r>
              <w:t xml:space="preserve">49.19</w:t>
            </w:r>
          </w:p>
        </w:tc>
        <w:tc>
          <w:tcPr/>
          <w:p>
            <w:pPr>
              <w:pStyle w:val="Compact"/>
              <w:jc w:val="left"/>
            </w:pPr>
            <w:r>
              <w:t xml:space="preserve">82.35</w:t>
            </w:r>
          </w:p>
        </w:tc>
      </w:tr>
      <w:tr>
        <w:tc>
          <w:tcPr/>
          <w:p>
            <w:pPr>
              <w:pStyle w:val="Compact"/>
              <w:jc w:val="left"/>
            </w:pPr>
            <w:r>
              <w:t xml:space="preserve">1995</w:t>
            </w:r>
          </w:p>
        </w:tc>
        <w:tc>
          <w:tcPr/>
          <w:p>
            <w:pPr>
              <w:pStyle w:val="Compact"/>
              <w:jc w:val="left"/>
            </w:pPr>
            <w:r>
              <w:t xml:space="preserve">95.79</w:t>
            </w:r>
          </w:p>
        </w:tc>
        <w:tc>
          <w:tcPr/>
          <w:p>
            <w:pPr>
              <w:pStyle w:val="Compact"/>
              <w:jc w:val="left"/>
            </w:pPr>
            <w:r>
              <w:t xml:space="preserve">168.7</w:t>
            </w:r>
          </w:p>
        </w:tc>
        <w:tc>
          <w:tcPr/>
          <w:p>
            <w:pPr>
              <w:pStyle w:val="Compact"/>
              <w:jc w:val="left"/>
            </w:pPr>
            <w:r>
              <w:t xml:space="preserve">62.38</w:t>
            </w:r>
          </w:p>
        </w:tc>
        <w:tc>
          <w:tcPr/>
          <w:p>
            <w:pPr>
              <w:pStyle w:val="Compact"/>
              <w:jc w:val="left"/>
            </w:pPr>
            <w:r>
              <w:t xml:space="preserve">38.9</w:t>
            </w:r>
          </w:p>
        </w:tc>
        <w:tc>
          <w:tcPr/>
          <w:p>
            <w:pPr>
              <w:pStyle w:val="Compact"/>
              <w:jc w:val="left"/>
            </w:pPr>
            <w:r>
              <w:t xml:space="preserve">65.1</w:t>
            </w:r>
          </w:p>
        </w:tc>
        <w:tc>
          <w:tcPr/>
          <w:p>
            <w:pPr>
              <w:pStyle w:val="Compact"/>
              <w:jc w:val="left"/>
            </w:pPr>
            <w:r>
              <w:t xml:space="preserve">224.4</w:t>
            </w:r>
          </w:p>
        </w:tc>
        <w:tc>
          <w:tcPr/>
          <w:p>
            <w:pPr>
              <w:pStyle w:val="Compact"/>
              <w:jc w:val="left"/>
            </w:pPr>
            <w:r>
              <w:t xml:space="preserve">438.9</w:t>
            </w:r>
          </w:p>
        </w:tc>
        <w:tc>
          <w:tcPr/>
          <w:p>
            <w:pPr>
              <w:pStyle w:val="Compact"/>
              <w:jc w:val="left"/>
            </w:pPr>
            <w:r>
              <w:t xml:space="preserve">97.47</w:t>
            </w:r>
          </w:p>
        </w:tc>
        <w:tc>
          <w:tcPr/>
          <w:p>
            <w:pPr>
              <w:pStyle w:val="Compact"/>
              <w:jc w:val="left"/>
            </w:pPr>
            <w:r>
              <w:t xml:space="preserve">50.36</w:t>
            </w:r>
          </w:p>
        </w:tc>
        <w:tc>
          <w:tcPr/>
          <w:p>
            <w:pPr>
              <w:pStyle w:val="Compact"/>
              <w:jc w:val="left"/>
            </w:pPr>
            <w:r>
              <w:t xml:space="preserve">86.28</w:t>
            </w:r>
          </w:p>
        </w:tc>
      </w:tr>
      <w:tr>
        <w:tc>
          <w:tcPr/>
          <w:p>
            <w:pPr>
              <w:pStyle w:val="Compact"/>
              <w:jc w:val="left"/>
            </w:pPr>
            <w:r>
              <w:t xml:space="preserve">1996</w:t>
            </w:r>
          </w:p>
        </w:tc>
        <w:tc>
          <w:tcPr/>
          <w:p>
            <w:pPr>
              <w:pStyle w:val="Compact"/>
              <w:jc w:val="left"/>
            </w:pPr>
            <w:r>
              <w:t xml:space="preserve">90.33</w:t>
            </w:r>
          </w:p>
        </w:tc>
        <w:tc>
          <w:tcPr/>
          <w:p>
            <w:pPr>
              <w:pStyle w:val="Compact"/>
              <w:jc w:val="left"/>
            </w:pPr>
            <w:r>
              <w:t xml:space="preserve">207.5</w:t>
            </w:r>
          </w:p>
        </w:tc>
        <w:tc>
          <w:tcPr/>
          <w:p>
            <w:pPr>
              <w:pStyle w:val="Compact"/>
              <w:jc w:val="left"/>
            </w:pPr>
            <w:r>
              <w:t xml:space="preserve">100.4</w:t>
            </w:r>
          </w:p>
        </w:tc>
        <w:tc>
          <w:tcPr/>
          <w:p>
            <w:pPr>
              <w:pStyle w:val="Compact"/>
              <w:jc w:val="left"/>
            </w:pPr>
            <w:r>
              <w:t xml:space="preserve">67.62</w:t>
            </w:r>
          </w:p>
        </w:tc>
        <w:tc>
          <w:tcPr/>
          <w:p>
            <w:pPr>
              <w:pStyle w:val="Compact"/>
              <w:jc w:val="left"/>
            </w:pPr>
            <w:r>
              <w:t xml:space="preserve">113.5</w:t>
            </w:r>
          </w:p>
        </w:tc>
        <w:tc>
          <w:tcPr/>
          <w:p>
            <w:pPr>
              <w:pStyle w:val="Compact"/>
              <w:jc w:val="left"/>
            </w:pPr>
            <w:r>
              <w:t xml:space="preserve">195.9</w:t>
            </w:r>
          </w:p>
        </w:tc>
        <w:tc>
          <w:tcPr/>
          <w:p>
            <w:pPr>
              <w:pStyle w:val="Compact"/>
              <w:jc w:val="left"/>
            </w:pPr>
            <w:r>
              <w:t xml:space="preserve">492</w:t>
            </w:r>
          </w:p>
        </w:tc>
        <w:tc>
          <w:tcPr/>
          <w:p>
            <w:pPr>
              <w:pStyle w:val="Compact"/>
              <w:jc w:val="left"/>
            </w:pPr>
            <w:r>
              <w:t xml:space="preserve">152.4</w:t>
            </w:r>
          </w:p>
        </w:tc>
        <w:tc>
          <w:tcPr/>
          <w:p>
            <w:pPr>
              <w:pStyle w:val="Compact"/>
              <w:jc w:val="left"/>
            </w:pPr>
            <w:r>
              <w:t xml:space="preserve">87.38</w:t>
            </w:r>
          </w:p>
        </w:tc>
        <w:tc>
          <w:tcPr/>
          <w:p>
            <w:pPr>
              <w:pStyle w:val="Compact"/>
              <w:jc w:val="left"/>
            </w:pPr>
            <w:r>
              <w:t xml:space="preserve">149.9</w:t>
            </w:r>
          </w:p>
        </w:tc>
      </w:tr>
      <w:tr>
        <w:tc>
          <w:tcPr/>
          <w:p>
            <w:pPr>
              <w:pStyle w:val="Compact"/>
              <w:jc w:val="left"/>
            </w:pPr>
            <w:r>
              <w:t xml:space="preserve">1997</w:t>
            </w:r>
          </w:p>
        </w:tc>
        <w:tc>
          <w:tcPr/>
          <w:p>
            <w:pPr>
              <w:pStyle w:val="Compact"/>
              <w:jc w:val="left"/>
            </w:pPr>
            <w:r>
              <w:t xml:space="preserve">80.69</w:t>
            </w:r>
          </w:p>
        </w:tc>
        <w:tc>
          <w:tcPr/>
          <w:p>
            <w:pPr>
              <w:pStyle w:val="Compact"/>
              <w:jc w:val="left"/>
            </w:pPr>
            <w:r>
              <w:t xml:space="preserve">227.4</w:t>
            </w:r>
          </w:p>
        </w:tc>
        <w:tc>
          <w:tcPr/>
          <w:p>
            <w:pPr>
              <w:pStyle w:val="Compact"/>
              <w:jc w:val="left"/>
            </w:pPr>
            <w:r>
              <w:t xml:space="preserve">138.7</w:t>
            </w:r>
          </w:p>
        </w:tc>
        <w:tc>
          <w:tcPr/>
          <w:p>
            <w:pPr>
              <w:pStyle w:val="Compact"/>
              <w:jc w:val="left"/>
            </w:pPr>
            <w:r>
              <w:t xml:space="preserve">106.8</w:t>
            </w:r>
          </w:p>
        </w:tc>
        <w:tc>
          <w:tcPr/>
          <w:p>
            <w:pPr>
              <w:pStyle w:val="Compact"/>
              <w:jc w:val="left"/>
            </w:pPr>
            <w:r>
              <w:t xml:space="preserve">170.2</w:t>
            </w:r>
          </w:p>
        </w:tc>
        <w:tc>
          <w:tcPr/>
          <w:p>
            <w:pPr>
              <w:pStyle w:val="Compact"/>
              <w:jc w:val="left"/>
            </w:pPr>
            <w:r>
              <w:t xml:space="preserve">202.5</w:t>
            </w:r>
          </w:p>
        </w:tc>
        <w:tc>
          <w:tcPr/>
          <w:p>
            <w:pPr>
              <w:pStyle w:val="Compact"/>
              <w:jc w:val="left"/>
            </w:pPr>
            <w:r>
              <w:t xml:space="preserve">478</w:t>
            </w:r>
          </w:p>
        </w:tc>
        <w:tc>
          <w:tcPr/>
          <w:p>
            <w:pPr>
              <w:pStyle w:val="Compact"/>
              <w:jc w:val="left"/>
            </w:pPr>
            <w:r>
              <w:t xml:space="preserve">197.3</w:t>
            </w:r>
          </w:p>
        </w:tc>
        <w:tc>
          <w:tcPr/>
          <w:p>
            <w:pPr>
              <w:pStyle w:val="Compact"/>
              <w:jc w:val="left"/>
            </w:pPr>
            <w:r>
              <w:t xml:space="preserve">134.5</w:t>
            </w:r>
          </w:p>
        </w:tc>
        <w:tc>
          <w:tcPr/>
          <w:p>
            <w:pPr>
              <w:pStyle w:val="Compact"/>
              <w:jc w:val="left"/>
            </w:pPr>
            <w:r>
              <w:t xml:space="preserve">219</w:t>
            </w:r>
          </w:p>
        </w:tc>
      </w:tr>
      <w:tr>
        <w:tc>
          <w:tcPr/>
          <w:p>
            <w:pPr>
              <w:pStyle w:val="Compact"/>
              <w:jc w:val="left"/>
            </w:pPr>
            <w:r>
              <w:t xml:space="preserve">1998</w:t>
            </w:r>
          </w:p>
        </w:tc>
        <w:tc>
          <w:tcPr/>
          <w:p>
            <w:pPr>
              <w:pStyle w:val="Compact"/>
              <w:jc w:val="left"/>
            </w:pPr>
            <w:r>
              <w:t xml:space="preserve">75.65</w:t>
            </w:r>
          </w:p>
        </w:tc>
        <w:tc>
          <w:tcPr/>
          <w:p>
            <w:pPr>
              <w:pStyle w:val="Compact"/>
              <w:jc w:val="left"/>
            </w:pPr>
            <w:r>
              <w:t xml:space="preserve">204.6</w:t>
            </w:r>
          </w:p>
        </w:tc>
        <w:tc>
          <w:tcPr/>
          <w:p>
            <w:pPr>
              <w:pStyle w:val="Compact"/>
              <w:jc w:val="left"/>
            </w:pPr>
            <w:r>
              <w:t xml:space="preserve">132.4</w:t>
            </w:r>
          </w:p>
        </w:tc>
        <w:tc>
          <w:tcPr/>
          <w:p>
            <w:pPr>
              <w:pStyle w:val="Compact"/>
              <w:jc w:val="left"/>
            </w:pPr>
            <w:r>
              <w:t xml:space="preserve">105.8</w:t>
            </w:r>
          </w:p>
        </w:tc>
        <w:tc>
          <w:tcPr/>
          <w:p>
            <w:pPr>
              <w:pStyle w:val="Compact"/>
              <w:jc w:val="left"/>
            </w:pPr>
            <w:r>
              <w:t xml:space="preserve">163.2</w:t>
            </w:r>
          </w:p>
        </w:tc>
        <w:tc>
          <w:tcPr/>
          <w:p>
            <w:pPr>
              <w:pStyle w:val="Compact"/>
              <w:jc w:val="left"/>
            </w:pPr>
            <w:r>
              <w:t xml:space="preserve">168.3</w:t>
            </w:r>
          </w:p>
        </w:tc>
        <w:tc>
          <w:tcPr/>
          <w:p>
            <w:pPr>
              <w:pStyle w:val="Compact"/>
              <w:jc w:val="left"/>
            </w:pPr>
            <w:r>
              <w:t xml:space="preserve">412.5</w:t>
            </w:r>
          </w:p>
        </w:tc>
        <w:tc>
          <w:tcPr/>
          <w:p>
            <w:pPr>
              <w:pStyle w:val="Compact"/>
              <w:jc w:val="left"/>
            </w:pPr>
            <w:r>
              <w:t xml:space="preserve">184</w:t>
            </w:r>
          </w:p>
        </w:tc>
        <w:tc>
          <w:tcPr/>
          <w:p>
            <w:pPr>
              <w:pStyle w:val="Compact"/>
              <w:jc w:val="left"/>
            </w:pPr>
            <w:r>
              <w:t xml:space="preserve">131.6</w:t>
            </w:r>
          </w:p>
        </w:tc>
        <w:tc>
          <w:tcPr/>
          <w:p>
            <w:pPr>
              <w:pStyle w:val="Compact"/>
              <w:jc w:val="left"/>
            </w:pPr>
            <w:r>
              <w:t xml:space="preserve">207.4</w:t>
            </w:r>
          </w:p>
        </w:tc>
      </w:tr>
      <w:tr>
        <w:tc>
          <w:tcPr/>
          <w:p>
            <w:pPr>
              <w:pStyle w:val="Compact"/>
              <w:jc w:val="left"/>
            </w:pPr>
            <w:r>
              <w:t xml:space="preserve">1999</w:t>
            </w:r>
          </w:p>
        </w:tc>
        <w:tc>
          <w:tcPr/>
          <w:p>
            <w:pPr>
              <w:pStyle w:val="Compact"/>
              <w:jc w:val="left"/>
            </w:pPr>
            <w:r>
              <w:t xml:space="preserve">71.23</w:t>
            </w:r>
          </w:p>
        </w:tc>
        <w:tc>
          <w:tcPr/>
          <w:p>
            <w:pPr>
              <w:pStyle w:val="Compact"/>
              <w:jc w:val="left"/>
            </w:pPr>
            <w:r>
              <w:t xml:space="preserve">118.3</w:t>
            </w:r>
          </w:p>
        </w:tc>
        <w:tc>
          <w:tcPr/>
          <w:p>
            <w:pPr>
              <w:pStyle w:val="Compact"/>
              <w:jc w:val="left"/>
            </w:pPr>
            <w:r>
              <w:t xml:space="preserve">59.51</w:t>
            </w:r>
          </w:p>
        </w:tc>
        <w:tc>
          <w:tcPr/>
          <w:p>
            <w:pPr>
              <w:pStyle w:val="Compact"/>
              <w:jc w:val="left"/>
            </w:pPr>
            <w:r>
              <w:t xml:space="preserve">41.81</w:t>
            </w:r>
          </w:p>
        </w:tc>
        <w:tc>
          <w:tcPr/>
          <w:p>
            <w:pPr>
              <w:pStyle w:val="Compact"/>
              <w:jc w:val="left"/>
            </w:pPr>
            <w:r>
              <w:t xml:space="preserve">66.29</w:t>
            </w:r>
          </w:p>
        </w:tc>
        <w:tc>
          <w:tcPr/>
          <w:p>
            <w:pPr>
              <w:pStyle w:val="Compact"/>
              <w:jc w:val="left"/>
            </w:pPr>
            <w:r>
              <w:t xml:space="preserve">158.8</w:t>
            </w:r>
          </w:p>
        </w:tc>
        <w:tc>
          <w:tcPr/>
          <w:p>
            <w:pPr>
              <w:pStyle w:val="Compact"/>
              <w:jc w:val="left"/>
            </w:pPr>
            <w:r>
              <w:t xml:space="preserve">275</w:t>
            </w:r>
          </w:p>
        </w:tc>
        <w:tc>
          <w:tcPr/>
          <w:p>
            <w:pPr>
              <w:pStyle w:val="Compact"/>
              <w:jc w:val="left"/>
            </w:pPr>
            <w:r>
              <w:t xml:space="preserve">88.24</w:t>
            </w:r>
          </w:p>
        </w:tc>
        <w:tc>
          <w:tcPr/>
          <w:p>
            <w:pPr>
              <w:pStyle w:val="Compact"/>
              <w:jc w:val="left"/>
            </w:pPr>
            <w:r>
              <w:t xml:space="preserve">52.7</w:t>
            </w:r>
          </w:p>
        </w:tc>
        <w:tc>
          <w:tcPr/>
          <w:p>
            <w:pPr>
              <w:pStyle w:val="Compact"/>
              <w:jc w:val="left"/>
            </w:pPr>
            <w:r>
              <w:t xml:space="preserve">85.53</w:t>
            </w:r>
          </w:p>
        </w:tc>
      </w:tr>
      <w:tr>
        <w:tc>
          <w:tcPr/>
          <w:p>
            <w:pPr>
              <w:pStyle w:val="Compact"/>
              <w:jc w:val="left"/>
            </w:pPr>
            <w:r>
              <w:t xml:space="preserve">2000</w:t>
            </w:r>
          </w:p>
        </w:tc>
        <w:tc>
          <w:tcPr/>
          <w:p>
            <w:pPr>
              <w:pStyle w:val="Compact"/>
              <w:jc w:val="left"/>
            </w:pPr>
            <w:r>
              <w:t xml:space="preserve">62.69</w:t>
            </w:r>
          </w:p>
        </w:tc>
        <w:tc>
          <w:tcPr/>
          <w:p>
            <w:pPr>
              <w:pStyle w:val="Compact"/>
              <w:jc w:val="left"/>
            </w:pPr>
            <w:r>
              <w:t xml:space="preserve">95.83</w:t>
            </w:r>
          </w:p>
        </w:tc>
        <w:tc>
          <w:tcPr/>
          <w:p>
            <w:pPr>
              <w:pStyle w:val="Compact"/>
              <w:jc w:val="left"/>
            </w:pPr>
            <w:r>
              <w:t xml:space="preserve">47.88</w:t>
            </w:r>
          </w:p>
        </w:tc>
        <w:tc>
          <w:tcPr/>
          <w:p>
            <w:pPr>
              <w:pStyle w:val="Compact"/>
              <w:jc w:val="left"/>
            </w:pPr>
            <w:r>
              <w:t xml:space="preserve">33.58</w:t>
            </w:r>
          </w:p>
        </w:tc>
        <w:tc>
          <w:tcPr/>
          <w:p>
            <w:pPr>
              <w:pStyle w:val="Compact"/>
              <w:jc w:val="left"/>
            </w:pPr>
            <w:r>
              <w:t xml:space="preserve">52.69</w:t>
            </w:r>
          </w:p>
        </w:tc>
        <w:tc>
          <w:tcPr/>
          <w:p>
            <w:pPr>
              <w:pStyle w:val="Compact"/>
              <w:jc w:val="left"/>
            </w:pPr>
            <w:r>
              <w:t xml:space="preserve">143.4</w:t>
            </w:r>
          </w:p>
        </w:tc>
        <w:tc>
          <w:tcPr/>
          <w:p>
            <w:pPr>
              <w:pStyle w:val="Compact"/>
              <w:jc w:val="left"/>
            </w:pPr>
            <w:r>
              <w:t xml:space="preserve">223.6</w:t>
            </w:r>
          </w:p>
        </w:tc>
        <w:tc>
          <w:tcPr/>
          <w:p>
            <w:pPr>
              <w:pStyle w:val="Compact"/>
              <w:jc w:val="left"/>
            </w:pPr>
            <w:r>
              <w:t xml:space="preserve">71.02</w:t>
            </w:r>
          </w:p>
        </w:tc>
        <w:tc>
          <w:tcPr/>
          <w:p>
            <w:pPr>
              <w:pStyle w:val="Compact"/>
              <w:jc w:val="left"/>
            </w:pPr>
            <w:r>
              <w:t xml:space="preserve">42.32</w:t>
            </w:r>
          </w:p>
        </w:tc>
        <w:tc>
          <w:tcPr/>
          <w:p>
            <w:pPr>
              <w:pStyle w:val="Compact"/>
              <w:jc w:val="left"/>
            </w:pPr>
            <w:r>
              <w:t xml:space="preserve">68.05</w:t>
            </w:r>
          </w:p>
        </w:tc>
      </w:tr>
      <w:tr>
        <w:tc>
          <w:tcPr/>
          <w:p>
            <w:pPr>
              <w:pStyle w:val="Compact"/>
              <w:jc w:val="left"/>
            </w:pPr>
            <w:r>
              <w:t xml:space="preserve">2001</w:t>
            </w:r>
          </w:p>
        </w:tc>
        <w:tc>
          <w:tcPr/>
          <w:p>
            <w:pPr>
              <w:pStyle w:val="Compact"/>
              <w:jc w:val="left"/>
            </w:pPr>
            <w:r>
              <w:t xml:space="preserve">57.2</w:t>
            </w:r>
          </w:p>
        </w:tc>
        <w:tc>
          <w:tcPr/>
          <w:p>
            <w:pPr>
              <w:pStyle w:val="Compact"/>
              <w:jc w:val="left"/>
            </w:pPr>
            <w:r>
              <w:t xml:space="preserve">77.6</w:t>
            </w:r>
          </w:p>
        </w:tc>
        <w:tc>
          <w:tcPr/>
          <w:p>
            <w:pPr>
              <w:pStyle w:val="Compact"/>
              <w:jc w:val="left"/>
            </w:pPr>
            <w:r>
              <w:t xml:space="preserve">36.83</w:t>
            </w:r>
          </w:p>
        </w:tc>
        <w:tc>
          <w:tcPr/>
          <w:p>
            <w:pPr>
              <w:pStyle w:val="Compact"/>
              <w:jc w:val="left"/>
            </w:pPr>
            <w:r>
              <w:t xml:space="preserve">25.15</w:t>
            </w:r>
          </w:p>
        </w:tc>
        <w:tc>
          <w:tcPr/>
          <w:p>
            <w:pPr>
              <w:pStyle w:val="Compact"/>
              <w:jc w:val="left"/>
            </w:pPr>
            <w:r>
              <w:t xml:space="preserve">40.25</w:t>
            </w:r>
          </w:p>
        </w:tc>
        <w:tc>
          <w:tcPr/>
          <w:p>
            <w:pPr>
              <w:pStyle w:val="Compact"/>
              <w:jc w:val="left"/>
            </w:pPr>
            <w:r>
              <w:t xml:space="preserve">124.2</w:t>
            </w:r>
          </w:p>
        </w:tc>
        <w:tc>
          <w:tcPr/>
          <w:p>
            <w:pPr>
              <w:pStyle w:val="Compact"/>
              <w:jc w:val="left"/>
            </w:pPr>
            <w:r>
              <w:t xml:space="preserve">185.4</w:t>
            </w:r>
          </w:p>
        </w:tc>
        <w:tc>
          <w:tcPr/>
          <w:p>
            <w:pPr>
              <w:pStyle w:val="Compact"/>
              <w:jc w:val="left"/>
            </w:pPr>
            <w:r>
              <w:t xml:space="preserve">55.35</w:t>
            </w:r>
          </w:p>
        </w:tc>
        <w:tc>
          <w:tcPr/>
          <w:p>
            <w:pPr>
              <w:pStyle w:val="Compact"/>
              <w:jc w:val="left"/>
            </w:pPr>
            <w:r>
              <w:t xml:space="preserve">31.93</w:t>
            </w:r>
          </w:p>
        </w:tc>
        <w:tc>
          <w:tcPr/>
          <w:p>
            <w:pPr>
              <w:pStyle w:val="Compact"/>
              <w:jc w:val="left"/>
            </w:pPr>
            <w:r>
              <w:t xml:space="preserve">52.34</w:t>
            </w:r>
          </w:p>
        </w:tc>
      </w:tr>
      <w:tr>
        <w:tc>
          <w:tcPr/>
          <w:p>
            <w:pPr>
              <w:pStyle w:val="Compact"/>
              <w:jc w:val="left"/>
            </w:pPr>
            <w:r>
              <w:t xml:space="preserve">2002</w:t>
            </w:r>
          </w:p>
        </w:tc>
        <w:tc>
          <w:tcPr/>
          <w:p>
            <w:pPr>
              <w:pStyle w:val="Compact"/>
              <w:jc w:val="left"/>
            </w:pPr>
            <w:r>
              <w:t xml:space="preserve">51.02</w:t>
            </w:r>
          </w:p>
        </w:tc>
        <w:tc>
          <w:tcPr/>
          <w:p>
            <w:pPr>
              <w:pStyle w:val="Compact"/>
              <w:jc w:val="left"/>
            </w:pPr>
            <w:r>
              <w:t xml:space="preserve">66.53</w:t>
            </w:r>
          </w:p>
        </w:tc>
        <w:tc>
          <w:tcPr/>
          <w:p>
            <w:pPr>
              <w:pStyle w:val="Compact"/>
              <w:jc w:val="left"/>
            </w:pPr>
            <w:r>
              <w:t xml:space="preserve">29.45</w:t>
            </w:r>
          </w:p>
        </w:tc>
        <w:tc>
          <w:tcPr/>
          <w:p>
            <w:pPr>
              <w:pStyle w:val="Compact"/>
              <w:jc w:val="left"/>
            </w:pPr>
            <w:r>
              <w:t xml:space="preserve">19.03</w:t>
            </w:r>
          </w:p>
        </w:tc>
        <w:tc>
          <w:tcPr/>
          <w:p>
            <w:pPr>
              <w:pStyle w:val="Compact"/>
              <w:jc w:val="left"/>
            </w:pPr>
            <w:r>
              <w:t xml:space="preserve">31.51</w:t>
            </w:r>
          </w:p>
        </w:tc>
        <w:tc>
          <w:tcPr/>
          <w:p>
            <w:pPr>
              <w:pStyle w:val="Compact"/>
              <w:jc w:val="left"/>
            </w:pPr>
            <w:r>
              <w:t xml:space="preserve">108</w:t>
            </w:r>
          </w:p>
        </w:tc>
        <w:tc>
          <w:tcPr/>
          <w:p>
            <w:pPr>
              <w:pStyle w:val="Compact"/>
              <w:jc w:val="left"/>
            </w:pPr>
            <w:r>
              <w:t xml:space="preserve">163.7</w:t>
            </w:r>
          </w:p>
        </w:tc>
        <w:tc>
          <w:tcPr/>
          <w:p>
            <w:pPr>
              <w:pStyle w:val="Compact"/>
              <w:jc w:val="left"/>
            </w:pPr>
            <w:r>
              <w:t xml:space="preserve">45.4</w:t>
            </w:r>
          </w:p>
        </w:tc>
        <w:tc>
          <w:tcPr/>
          <w:p>
            <w:pPr>
              <w:pStyle w:val="Compact"/>
              <w:jc w:val="left"/>
            </w:pPr>
            <w:r>
              <w:t xml:space="preserve">24.53</w:t>
            </w:r>
          </w:p>
        </w:tc>
        <w:tc>
          <w:tcPr/>
          <w:p>
            <w:pPr>
              <w:pStyle w:val="Compact"/>
              <w:jc w:val="left"/>
            </w:pPr>
            <w:r>
              <w:t xml:space="preserve">41.59</w:t>
            </w:r>
          </w:p>
        </w:tc>
      </w:tr>
      <w:tr>
        <w:tc>
          <w:tcPr/>
          <w:p>
            <w:pPr>
              <w:pStyle w:val="Compact"/>
              <w:jc w:val="left"/>
            </w:pPr>
            <w:r>
              <w:t xml:space="preserve">2003</w:t>
            </w:r>
          </w:p>
        </w:tc>
        <w:tc>
          <w:tcPr/>
          <w:p>
            <w:pPr>
              <w:pStyle w:val="Compact"/>
              <w:jc w:val="left"/>
            </w:pPr>
            <w:r>
              <w:t xml:space="preserve">44.01</w:t>
            </w:r>
          </w:p>
        </w:tc>
        <w:tc>
          <w:tcPr/>
          <w:p>
            <w:pPr>
              <w:pStyle w:val="Compact"/>
              <w:jc w:val="left"/>
            </w:pPr>
            <w:r>
              <w:t xml:space="preserve">70.82</w:t>
            </w:r>
          </w:p>
        </w:tc>
        <w:tc>
          <w:tcPr/>
          <w:p>
            <w:pPr>
              <w:pStyle w:val="Compact"/>
              <w:jc w:val="left"/>
            </w:pPr>
            <w:r>
              <w:t xml:space="preserve">36.79</w:t>
            </w:r>
          </w:p>
        </w:tc>
        <w:tc>
          <w:tcPr/>
          <w:p>
            <w:pPr>
              <w:pStyle w:val="Compact"/>
              <w:jc w:val="left"/>
            </w:pPr>
            <w:r>
              <w:t xml:space="preserve">26.64</w:t>
            </w:r>
          </w:p>
        </w:tc>
        <w:tc>
          <w:tcPr/>
          <w:p>
            <w:pPr>
              <w:pStyle w:val="Compact"/>
              <w:jc w:val="left"/>
            </w:pPr>
            <w:r>
              <w:t xml:space="preserve">43.42</w:t>
            </w:r>
          </w:p>
        </w:tc>
        <w:tc>
          <w:tcPr/>
          <w:p>
            <w:pPr>
              <w:pStyle w:val="Compact"/>
              <w:jc w:val="left"/>
            </w:pPr>
            <w:r>
              <w:t xml:space="preserve">249.7</w:t>
            </w:r>
          </w:p>
        </w:tc>
        <w:tc>
          <w:tcPr/>
          <w:p>
            <w:pPr>
              <w:pStyle w:val="Compact"/>
              <w:jc w:val="left"/>
            </w:pPr>
            <w:r>
              <w:t xml:space="preserve">163.3</w:t>
            </w:r>
          </w:p>
        </w:tc>
        <w:tc>
          <w:tcPr/>
          <w:p>
            <w:pPr>
              <w:pStyle w:val="Compact"/>
              <w:jc w:val="left"/>
            </w:pPr>
            <w:r>
              <w:t xml:space="preserve">54.02</w:t>
            </w:r>
          </w:p>
        </w:tc>
        <w:tc>
          <w:tcPr/>
          <w:p>
            <w:pPr>
              <w:pStyle w:val="Compact"/>
              <w:jc w:val="left"/>
            </w:pPr>
            <w:r>
              <w:t xml:space="preserve">33.86</w:t>
            </w:r>
          </w:p>
        </w:tc>
        <w:tc>
          <w:tcPr/>
          <w:p>
            <w:pPr>
              <w:pStyle w:val="Compact"/>
              <w:jc w:val="left"/>
            </w:pPr>
            <w:r>
              <w:t xml:space="preserve">56.38</w:t>
            </w:r>
          </w:p>
        </w:tc>
      </w:tr>
      <w:tr>
        <w:tc>
          <w:tcPr/>
          <w:p>
            <w:pPr>
              <w:pStyle w:val="Compact"/>
              <w:jc w:val="left"/>
            </w:pPr>
            <w:r>
              <w:t xml:space="preserve">2004</w:t>
            </w:r>
          </w:p>
        </w:tc>
        <w:tc>
          <w:tcPr/>
          <w:p>
            <w:pPr>
              <w:pStyle w:val="Compact"/>
              <w:jc w:val="left"/>
            </w:pPr>
            <w:r>
              <w:t xml:space="preserve">67.99</w:t>
            </w:r>
          </w:p>
        </w:tc>
        <w:tc>
          <w:tcPr/>
          <w:p>
            <w:pPr>
              <w:pStyle w:val="Compact"/>
              <w:jc w:val="left"/>
            </w:pPr>
            <w:r>
              <w:t xml:space="preserve">86.69</w:t>
            </w:r>
          </w:p>
        </w:tc>
        <w:tc>
          <w:tcPr/>
          <w:p>
            <w:pPr>
              <w:pStyle w:val="Compact"/>
              <w:jc w:val="left"/>
            </w:pPr>
            <w:r>
              <w:t xml:space="preserve">50.43</w:t>
            </w:r>
          </w:p>
        </w:tc>
        <w:tc>
          <w:tcPr/>
          <w:p>
            <w:pPr>
              <w:pStyle w:val="Compact"/>
              <w:jc w:val="left"/>
            </w:pPr>
            <w:r>
              <w:t xml:space="preserve">39.22</w:t>
            </w:r>
          </w:p>
        </w:tc>
        <w:tc>
          <w:tcPr/>
          <w:p>
            <w:pPr>
              <w:pStyle w:val="Compact"/>
              <w:jc w:val="left"/>
            </w:pPr>
            <w:r>
              <w:t xml:space="preserve">61.07</w:t>
            </w:r>
          </w:p>
        </w:tc>
        <w:tc>
          <w:tcPr/>
          <w:p>
            <w:pPr>
              <w:pStyle w:val="Compact"/>
              <w:jc w:val="left"/>
            </w:pPr>
            <w:r>
              <w:t xml:space="preserve">239.2</w:t>
            </w:r>
          </w:p>
        </w:tc>
        <w:tc>
          <w:tcPr/>
          <w:p>
            <w:pPr>
              <w:pStyle w:val="Compact"/>
              <w:jc w:val="left"/>
            </w:pPr>
            <w:r>
              <w:t xml:space="preserve">187.7</w:t>
            </w:r>
          </w:p>
        </w:tc>
        <w:tc>
          <w:tcPr/>
          <w:p>
            <w:pPr>
              <w:pStyle w:val="Compact"/>
              <w:jc w:val="left"/>
            </w:pPr>
            <w:r>
              <w:t xml:space="preserve">71.19</w:t>
            </w:r>
          </w:p>
        </w:tc>
        <w:tc>
          <w:tcPr/>
          <w:p>
            <w:pPr>
              <w:pStyle w:val="Compact"/>
              <w:jc w:val="left"/>
            </w:pPr>
            <w:r>
              <w:t xml:space="preserve">49.08</w:t>
            </w:r>
          </w:p>
        </w:tc>
        <w:tc>
          <w:tcPr/>
          <w:p>
            <w:pPr>
              <w:pStyle w:val="Compact"/>
              <w:jc w:val="left"/>
            </w:pPr>
            <w:r>
              <w:t xml:space="preserve">78.16</w:t>
            </w:r>
          </w:p>
        </w:tc>
      </w:tr>
      <w:tr>
        <w:tc>
          <w:tcPr/>
          <w:p>
            <w:pPr>
              <w:pStyle w:val="Compact"/>
              <w:jc w:val="left"/>
            </w:pPr>
            <w:r>
              <w:t xml:space="preserve">2005</w:t>
            </w:r>
          </w:p>
        </w:tc>
        <w:tc>
          <w:tcPr/>
          <w:p>
            <w:pPr>
              <w:pStyle w:val="Compact"/>
              <w:jc w:val="left"/>
            </w:pPr>
            <w:r>
              <w:t xml:space="preserve">99.23</w:t>
            </w:r>
          </w:p>
        </w:tc>
        <w:tc>
          <w:tcPr/>
          <w:p>
            <w:pPr>
              <w:pStyle w:val="Compact"/>
              <w:jc w:val="left"/>
            </w:pPr>
            <w:r>
              <w:t xml:space="preserve">94.41</w:t>
            </w:r>
          </w:p>
        </w:tc>
        <w:tc>
          <w:tcPr/>
          <w:p>
            <w:pPr>
              <w:pStyle w:val="Compact"/>
              <w:jc w:val="left"/>
            </w:pPr>
            <w:r>
              <w:t xml:space="preserve">53.85</w:t>
            </w:r>
          </w:p>
        </w:tc>
        <w:tc>
          <w:tcPr/>
          <w:p>
            <w:pPr>
              <w:pStyle w:val="Compact"/>
              <w:jc w:val="left"/>
            </w:pPr>
            <w:r>
              <w:t xml:space="preserve">43.05</w:t>
            </w:r>
          </w:p>
        </w:tc>
        <w:tc>
          <w:tcPr/>
          <w:p>
            <w:pPr>
              <w:pStyle w:val="Compact"/>
              <w:jc w:val="left"/>
            </w:pPr>
            <w:r>
              <w:t xml:space="preserve">65.65</w:t>
            </w:r>
          </w:p>
        </w:tc>
        <w:tc>
          <w:tcPr/>
          <w:p>
            <w:pPr>
              <w:pStyle w:val="Compact"/>
              <w:jc w:val="left"/>
            </w:pPr>
            <w:r>
              <w:t xml:space="preserve">226.4</w:t>
            </w:r>
          </w:p>
        </w:tc>
        <w:tc>
          <w:tcPr/>
          <w:p>
            <w:pPr>
              <w:pStyle w:val="Compact"/>
              <w:jc w:val="left"/>
            </w:pPr>
            <w:r>
              <w:t xml:space="preserve">207.5</w:t>
            </w:r>
          </w:p>
        </w:tc>
        <w:tc>
          <w:tcPr/>
          <w:p>
            <w:pPr>
              <w:pStyle w:val="Compact"/>
              <w:jc w:val="left"/>
            </w:pPr>
            <w:r>
              <w:t xml:space="preserve">74.71</w:t>
            </w:r>
          </w:p>
        </w:tc>
        <w:tc>
          <w:tcPr/>
          <w:p>
            <w:pPr>
              <w:pStyle w:val="Compact"/>
              <w:jc w:val="left"/>
            </w:pPr>
            <w:r>
              <w:t xml:space="preserve">53.48</w:t>
            </w:r>
          </w:p>
        </w:tc>
        <w:tc>
          <w:tcPr/>
          <w:p>
            <w:pPr>
              <w:pStyle w:val="Compact"/>
              <w:jc w:val="left"/>
            </w:pPr>
            <w:r>
              <w:t xml:space="preserve">83.4</w:t>
            </w:r>
          </w:p>
        </w:tc>
      </w:tr>
      <w:tr>
        <w:tc>
          <w:tcPr/>
          <w:p>
            <w:pPr>
              <w:pStyle w:val="Compact"/>
              <w:jc w:val="left"/>
            </w:pPr>
            <w:r>
              <w:t xml:space="preserve">2006</w:t>
            </w:r>
          </w:p>
        </w:tc>
        <w:tc>
          <w:tcPr/>
          <w:p>
            <w:pPr>
              <w:pStyle w:val="Compact"/>
              <w:jc w:val="left"/>
            </w:pPr>
            <w:r>
              <w:t xml:space="preserve">95.38</w:t>
            </w:r>
          </w:p>
        </w:tc>
        <w:tc>
          <w:tcPr/>
          <w:p>
            <w:pPr>
              <w:pStyle w:val="Compact"/>
              <w:jc w:val="left"/>
            </w:pPr>
            <w:r>
              <w:t xml:space="preserve">102.3</w:t>
            </w:r>
          </w:p>
        </w:tc>
        <w:tc>
          <w:tcPr/>
          <w:p>
            <w:pPr>
              <w:pStyle w:val="Compact"/>
              <w:jc w:val="left"/>
            </w:pPr>
            <w:r>
              <w:t xml:space="preserve">51.03</w:t>
            </w:r>
          </w:p>
        </w:tc>
        <w:tc>
          <w:tcPr/>
          <w:p>
            <w:pPr>
              <w:pStyle w:val="Compact"/>
              <w:jc w:val="left"/>
            </w:pPr>
            <w:r>
              <w:t xml:space="preserve">38.97</w:t>
            </w:r>
          </w:p>
        </w:tc>
        <w:tc>
          <w:tcPr/>
          <w:p>
            <w:pPr>
              <w:pStyle w:val="Compact"/>
              <w:jc w:val="left"/>
            </w:pPr>
            <w:r>
              <w:t xml:space="preserve">60.41</w:t>
            </w:r>
          </w:p>
        </w:tc>
        <w:tc>
          <w:tcPr/>
          <w:p>
            <w:pPr>
              <w:pStyle w:val="Compact"/>
              <w:jc w:val="left"/>
            </w:pPr>
            <w:r>
              <w:t xml:space="preserve">198.5</w:t>
            </w:r>
          </w:p>
        </w:tc>
        <w:tc>
          <w:tcPr/>
          <w:p>
            <w:pPr>
              <w:pStyle w:val="Compact"/>
              <w:jc w:val="left"/>
            </w:pPr>
            <w:r>
              <w:t xml:space="preserve">241.2</w:t>
            </w:r>
          </w:p>
        </w:tc>
        <w:tc>
          <w:tcPr/>
          <w:p>
            <w:pPr>
              <w:pStyle w:val="Compact"/>
              <w:jc w:val="left"/>
            </w:pPr>
            <w:r>
              <w:t xml:space="preserve">72.64</w:t>
            </w:r>
          </w:p>
        </w:tc>
        <w:tc>
          <w:tcPr/>
          <w:p>
            <w:pPr>
              <w:pStyle w:val="Compact"/>
              <w:jc w:val="left"/>
            </w:pPr>
            <w:r>
              <w:t xml:space="preserve">48.87</w:t>
            </w:r>
          </w:p>
        </w:tc>
        <w:tc>
          <w:tcPr/>
          <w:p>
            <w:pPr>
              <w:pStyle w:val="Compact"/>
              <w:jc w:val="left"/>
            </w:pPr>
            <w:r>
              <w:t xml:space="preserve">77.58</w:t>
            </w:r>
          </w:p>
        </w:tc>
      </w:tr>
      <w:tr>
        <w:tc>
          <w:tcPr/>
          <w:p>
            <w:pPr>
              <w:pStyle w:val="Compact"/>
              <w:jc w:val="left"/>
            </w:pPr>
            <w:r>
              <w:t xml:space="preserve">2007</w:t>
            </w:r>
          </w:p>
        </w:tc>
        <w:tc>
          <w:tcPr/>
          <w:p>
            <w:pPr>
              <w:pStyle w:val="Compact"/>
              <w:jc w:val="left"/>
            </w:pPr>
            <w:r>
              <w:t xml:space="preserve">81.52</w:t>
            </w:r>
          </w:p>
        </w:tc>
        <w:tc>
          <w:tcPr/>
          <w:p>
            <w:pPr>
              <w:pStyle w:val="Compact"/>
              <w:jc w:val="left"/>
            </w:pPr>
            <w:r>
              <w:t xml:space="preserve">122.7</w:t>
            </w:r>
          </w:p>
        </w:tc>
        <w:tc>
          <w:tcPr/>
          <w:p>
            <w:pPr>
              <w:pStyle w:val="Compact"/>
              <w:jc w:val="left"/>
            </w:pPr>
            <w:r>
              <w:t xml:space="preserve">62.5</w:t>
            </w:r>
          </w:p>
        </w:tc>
        <w:tc>
          <w:tcPr/>
          <w:p>
            <w:pPr>
              <w:pStyle w:val="Compact"/>
              <w:jc w:val="left"/>
            </w:pPr>
            <w:r>
              <w:t xml:space="preserve">47.48</w:t>
            </w:r>
          </w:p>
        </w:tc>
        <w:tc>
          <w:tcPr/>
          <w:p>
            <w:pPr>
              <w:pStyle w:val="Compact"/>
              <w:jc w:val="left"/>
            </w:pPr>
            <w:r>
              <w:t xml:space="preserve">76.26</w:t>
            </w:r>
          </w:p>
        </w:tc>
        <w:tc>
          <w:tcPr/>
          <w:p>
            <w:pPr>
              <w:pStyle w:val="Compact"/>
              <w:jc w:val="left"/>
            </w:pPr>
            <w:r>
              <w:t xml:space="preserve">159.1</w:t>
            </w:r>
          </w:p>
        </w:tc>
        <w:tc>
          <w:tcPr/>
          <w:p>
            <w:pPr>
              <w:pStyle w:val="Compact"/>
              <w:jc w:val="left"/>
            </w:pPr>
            <w:r>
              <w:t xml:space="preserve">286.4</w:t>
            </w:r>
          </w:p>
        </w:tc>
        <w:tc>
          <w:tcPr/>
          <w:p>
            <w:pPr>
              <w:pStyle w:val="Compact"/>
              <w:jc w:val="left"/>
            </w:pPr>
            <w:r>
              <w:t xml:space="preserve">89.56</w:t>
            </w:r>
          </w:p>
        </w:tc>
        <w:tc>
          <w:tcPr/>
          <w:p>
            <w:pPr>
              <w:pStyle w:val="Compact"/>
              <w:jc w:val="left"/>
            </w:pPr>
            <w:r>
              <w:t xml:space="preserve">60.22</w:t>
            </w:r>
          </w:p>
        </w:tc>
        <w:tc>
          <w:tcPr/>
          <w:p>
            <w:pPr>
              <w:pStyle w:val="Compact"/>
              <w:jc w:val="left"/>
            </w:pPr>
            <w:r>
              <w:t xml:space="preserve">98.94</w:t>
            </w:r>
          </w:p>
        </w:tc>
      </w:tr>
      <w:tr>
        <w:tc>
          <w:tcPr/>
          <w:p>
            <w:pPr>
              <w:pStyle w:val="Compact"/>
              <w:jc w:val="left"/>
            </w:pPr>
            <w:r>
              <w:t xml:space="preserve">2008</w:t>
            </w:r>
          </w:p>
        </w:tc>
        <w:tc>
          <w:tcPr/>
          <w:p>
            <w:pPr>
              <w:pStyle w:val="Compact"/>
              <w:jc w:val="left"/>
            </w:pPr>
            <w:r>
              <w:t xml:space="preserve">67.01</w:t>
            </w:r>
          </w:p>
        </w:tc>
        <w:tc>
          <w:tcPr/>
          <w:p>
            <w:pPr>
              <w:pStyle w:val="Compact"/>
              <w:jc w:val="left"/>
            </w:pPr>
            <w:r>
              <w:t xml:space="preserve">136.3</w:t>
            </w:r>
          </w:p>
        </w:tc>
        <w:tc>
          <w:tcPr/>
          <w:p>
            <w:pPr>
              <w:pStyle w:val="Compact"/>
              <w:jc w:val="left"/>
            </w:pPr>
            <w:r>
              <w:t xml:space="preserve">72.72</w:t>
            </w:r>
          </w:p>
        </w:tc>
        <w:tc>
          <w:tcPr/>
          <w:p>
            <w:pPr>
              <w:pStyle w:val="Compact"/>
              <w:jc w:val="left"/>
            </w:pPr>
            <w:r>
              <w:t xml:space="preserve">56.48</w:t>
            </w:r>
          </w:p>
        </w:tc>
        <w:tc>
          <w:tcPr/>
          <w:p>
            <w:pPr>
              <w:pStyle w:val="Compact"/>
              <w:jc w:val="left"/>
            </w:pPr>
            <w:r>
              <w:t xml:space="preserve">88.97</w:t>
            </w:r>
          </w:p>
        </w:tc>
        <w:tc>
          <w:tcPr/>
          <w:p>
            <w:pPr>
              <w:pStyle w:val="Compact"/>
              <w:jc w:val="left"/>
            </w:pPr>
            <w:r>
              <w:t xml:space="preserve">136.8</w:t>
            </w:r>
          </w:p>
        </w:tc>
        <w:tc>
          <w:tcPr/>
          <w:p>
            <w:pPr>
              <w:pStyle w:val="Compact"/>
              <w:jc w:val="left"/>
            </w:pPr>
            <w:r>
              <w:t xml:space="preserve">309.6</w:t>
            </w:r>
          </w:p>
        </w:tc>
        <w:tc>
          <w:tcPr/>
          <w:p>
            <w:pPr>
              <w:pStyle w:val="Compact"/>
              <w:jc w:val="left"/>
            </w:pPr>
            <w:r>
              <w:t xml:space="preserve">102.8</w:t>
            </w:r>
          </w:p>
        </w:tc>
        <w:tc>
          <w:tcPr/>
          <w:p>
            <w:pPr>
              <w:pStyle w:val="Compact"/>
              <w:jc w:val="left"/>
            </w:pPr>
            <w:r>
              <w:t xml:space="preserve">70.99</w:t>
            </w:r>
          </w:p>
        </w:tc>
        <w:tc>
          <w:tcPr/>
          <w:p>
            <w:pPr>
              <w:pStyle w:val="Compact"/>
              <w:jc w:val="left"/>
            </w:pPr>
            <w:r>
              <w:t xml:space="preserve">114.4</w:t>
            </w:r>
          </w:p>
        </w:tc>
      </w:tr>
      <w:tr>
        <w:tc>
          <w:tcPr/>
          <w:p>
            <w:pPr>
              <w:pStyle w:val="Compact"/>
              <w:jc w:val="left"/>
            </w:pPr>
            <w:r>
              <w:t xml:space="preserve">2009</w:t>
            </w:r>
          </w:p>
        </w:tc>
        <w:tc>
          <w:tcPr/>
          <w:p>
            <w:pPr>
              <w:pStyle w:val="Compact"/>
              <w:jc w:val="left"/>
            </w:pPr>
            <w:r>
              <w:t xml:space="preserve">54.92</w:t>
            </w:r>
          </w:p>
        </w:tc>
        <w:tc>
          <w:tcPr/>
          <w:p>
            <w:pPr>
              <w:pStyle w:val="Compact"/>
              <w:jc w:val="left"/>
            </w:pPr>
            <w:r>
              <w:t xml:space="preserve">128.3</w:t>
            </w:r>
          </w:p>
        </w:tc>
        <w:tc>
          <w:tcPr/>
          <w:p>
            <w:pPr>
              <w:pStyle w:val="Compact"/>
              <w:jc w:val="left"/>
            </w:pPr>
            <w:r>
              <w:t xml:space="preserve">69.79</w:t>
            </w:r>
          </w:p>
        </w:tc>
        <w:tc>
          <w:tcPr/>
          <w:p>
            <w:pPr>
              <w:pStyle w:val="Compact"/>
              <w:jc w:val="left"/>
            </w:pPr>
            <w:r>
              <w:t xml:space="preserve">54.76</w:t>
            </w:r>
          </w:p>
        </w:tc>
        <w:tc>
          <w:tcPr/>
          <w:p>
            <w:pPr>
              <w:pStyle w:val="Compact"/>
              <w:jc w:val="left"/>
            </w:pPr>
            <w:r>
              <w:t xml:space="preserve">86.1</w:t>
            </w:r>
          </w:p>
        </w:tc>
        <w:tc>
          <w:tcPr/>
          <w:p>
            <w:pPr>
              <w:pStyle w:val="Compact"/>
              <w:jc w:val="left"/>
            </w:pPr>
            <w:r>
              <w:t xml:space="preserve">268.6</w:t>
            </w:r>
          </w:p>
        </w:tc>
        <w:tc>
          <w:tcPr/>
          <w:p>
            <w:pPr>
              <w:pStyle w:val="Compact"/>
              <w:jc w:val="left"/>
            </w:pPr>
            <w:r>
              <w:t xml:space="preserve">289.1</w:t>
            </w:r>
          </w:p>
        </w:tc>
        <w:tc>
          <w:tcPr/>
          <w:p>
            <w:pPr>
              <w:pStyle w:val="Compact"/>
              <w:jc w:val="left"/>
            </w:pPr>
            <w:r>
              <w:t xml:space="preserve">98.14</w:t>
            </w:r>
          </w:p>
        </w:tc>
        <w:tc>
          <w:tcPr/>
          <w:p>
            <w:pPr>
              <w:pStyle w:val="Compact"/>
              <w:jc w:val="left"/>
            </w:pPr>
            <w:r>
              <w:t xml:space="preserve">68.78</w:t>
            </w:r>
          </w:p>
        </w:tc>
        <w:tc>
          <w:tcPr/>
          <w:p>
            <w:pPr>
              <w:pStyle w:val="Compact"/>
              <w:jc w:val="left"/>
            </w:pPr>
            <w:r>
              <w:t xml:space="preserve">110.6</w:t>
            </w:r>
          </w:p>
        </w:tc>
      </w:tr>
      <w:tr>
        <w:tc>
          <w:tcPr/>
          <w:p>
            <w:pPr>
              <w:pStyle w:val="Compact"/>
              <w:jc w:val="left"/>
            </w:pPr>
            <w:r>
              <w:t xml:space="preserve">2010</w:t>
            </w:r>
          </w:p>
        </w:tc>
        <w:tc>
          <w:tcPr/>
          <w:p>
            <w:pPr>
              <w:pStyle w:val="Compact"/>
              <w:jc w:val="left"/>
            </w:pPr>
            <w:r>
              <w:t xml:space="preserve">76.39</w:t>
            </w:r>
          </w:p>
        </w:tc>
        <w:tc>
          <w:tcPr/>
          <w:p>
            <w:pPr>
              <w:pStyle w:val="Compact"/>
              <w:jc w:val="left"/>
            </w:pPr>
            <w:r>
              <w:t xml:space="preserve">181.3</w:t>
            </w:r>
          </w:p>
        </w:tc>
        <w:tc>
          <w:tcPr/>
          <w:p>
            <w:pPr>
              <w:pStyle w:val="Compact"/>
              <w:jc w:val="left"/>
            </w:pPr>
            <w:r>
              <w:t xml:space="preserve">122.4</w:t>
            </w:r>
          </w:p>
        </w:tc>
        <w:tc>
          <w:tcPr/>
          <w:p>
            <w:pPr>
              <w:pStyle w:val="Compact"/>
              <w:jc w:val="left"/>
            </w:pPr>
            <w:r>
              <w:t xml:space="preserve">100.4</w:t>
            </w:r>
          </w:p>
        </w:tc>
        <w:tc>
          <w:tcPr/>
          <w:p>
            <w:pPr>
              <w:pStyle w:val="Compact"/>
              <w:jc w:val="left"/>
            </w:pPr>
            <w:r>
              <w:t xml:space="preserve">155</w:t>
            </w:r>
          </w:p>
        </w:tc>
        <w:tc>
          <w:tcPr/>
          <w:p>
            <w:pPr>
              <w:pStyle w:val="Compact"/>
              <w:jc w:val="left"/>
            </w:pPr>
            <w:r>
              <w:t xml:space="preserve">258.1</w:t>
            </w:r>
          </w:p>
        </w:tc>
        <w:tc>
          <w:tcPr/>
          <w:p>
            <w:pPr>
              <w:pStyle w:val="Compact"/>
              <w:jc w:val="left"/>
            </w:pPr>
            <w:r>
              <w:t xml:space="preserve">358.3</w:t>
            </w:r>
          </w:p>
        </w:tc>
        <w:tc>
          <w:tcPr/>
          <w:p>
            <w:pPr>
              <w:pStyle w:val="Compact"/>
              <w:jc w:val="left"/>
            </w:pPr>
            <w:r>
              <w:t xml:space="preserve">167.8</w:t>
            </w:r>
          </w:p>
        </w:tc>
        <w:tc>
          <w:tcPr/>
          <w:p>
            <w:pPr>
              <w:pStyle w:val="Compact"/>
              <w:jc w:val="left"/>
            </w:pPr>
            <w:r>
              <w:t xml:space="preserve">125.1</w:t>
            </w:r>
          </w:p>
        </w:tc>
        <w:tc>
          <w:tcPr/>
          <w:p>
            <w:pPr>
              <w:pStyle w:val="Compact"/>
              <w:jc w:val="left"/>
            </w:pPr>
            <w:r>
              <w:t xml:space="preserve">197.2</w:t>
            </w:r>
          </w:p>
        </w:tc>
      </w:tr>
      <w:tr>
        <w:tc>
          <w:tcPr/>
          <w:p>
            <w:pPr>
              <w:pStyle w:val="Compact"/>
              <w:jc w:val="left"/>
            </w:pPr>
            <w:r>
              <w:t xml:space="preserve">2011</w:t>
            </w:r>
          </w:p>
        </w:tc>
        <w:tc>
          <w:tcPr/>
          <w:p>
            <w:pPr>
              <w:pStyle w:val="Compact"/>
              <w:jc w:val="left"/>
            </w:pPr>
            <w:r>
              <w:t xml:space="preserve">106.1</w:t>
            </w:r>
          </w:p>
        </w:tc>
        <w:tc>
          <w:tcPr/>
          <w:p>
            <w:pPr>
              <w:pStyle w:val="Compact"/>
              <w:jc w:val="left"/>
            </w:pPr>
            <w:r>
              <w:t xml:space="preserve">141.3</w:t>
            </w:r>
          </w:p>
        </w:tc>
        <w:tc>
          <w:tcPr/>
          <w:p>
            <w:pPr>
              <w:pStyle w:val="Compact"/>
              <w:jc w:val="left"/>
            </w:pPr>
            <w:r>
              <w:t xml:space="preserve">89.69</w:t>
            </w:r>
          </w:p>
        </w:tc>
        <w:tc>
          <w:tcPr/>
          <w:p>
            <w:pPr>
              <w:pStyle w:val="Compact"/>
              <w:jc w:val="left"/>
            </w:pPr>
            <w:r>
              <w:t xml:space="preserve">71.73</w:t>
            </w:r>
          </w:p>
        </w:tc>
        <w:tc>
          <w:tcPr/>
          <w:p>
            <w:pPr>
              <w:pStyle w:val="Compact"/>
              <w:jc w:val="left"/>
            </w:pPr>
            <w:r>
              <w:t xml:space="preserve">111.2</w:t>
            </w:r>
          </w:p>
        </w:tc>
        <w:tc>
          <w:tcPr/>
          <w:p>
            <w:pPr>
              <w:pStyle w:val="Compact"/>
              <w:jc w:val="left"/>
            </w:pPr>
            <w:r>
              <w:t xml:space="preserve">246.9</w:t>
            </w:r>
          </w:p>
        </w:tc>
        <w:tc>
          <w:tcPr/>
          <w:p>
            <w:pPr>
              <w:pStyle w:val="Compact"/>
              <w:jc w:val="left"/>
            </w:pPr>
            <w:r>
              <w:t xml:space="preserve">292.3</w:t>
            </w:r>
          </w:p>
        </w:tc>
        <w:tc>
          <w:tcPr/>
          <w:p>
            <w:pPr>
              <w:pStyle w:val="Compact"/>
              <w:jc w:val="left"/>
            </w:pPr>
            <w:r>
              <w:t xml:space="preserve">124.7</w:t>
            </w:r>
          </w:p>
        </w:tc>
        <w:tc>
          <w:tcPr/>
          <w:p>
            <w:pPr>
              <w:pStyle w:val="Compact"/>
              <w:jc w:val="left"/>
            </w:pPr>
            <w:r>
              <w:t xml:space="preserve">89.69</w:t>
            </w:r>
          </w:p>
        </w:tc>
        <w:tc>
          <w:tcPr/>
          <w:p>
            <w:pPr>
              <w:pStyle w:val="Compact"/>
              <w:jc w:val="left"/>
            </w:pPr>
            <w:r>
              <w:t xml:space="preserve">142.3</w:t>
            </w:r>
          </w:p>
        </w:tc>
      </w:tr>
      <w:tr>
        <w:tc>
          <w:tcPr/>
          <w:p>
            <w:pPr>
              <w:pStyle w:val="Compact"/>
              <w:jc w:val="left"/>
            </w:pPr>
            <w:r>
              <w:t xml:space="preserve">2012</w:t>
            </w:r>
          </w:p>
        </w:tc>
        <w:tc>
          <w:tcPr/>
          <w:p>
            <w:pPr>
              <w:pStyle w:val="Compact"/>
              <w:jc w:val="left"/>
            </w:pPr>
            <w:r>
              <w:t xml:space="preserve">102.7</w:t>
            </w:r>
          </w:p>
        </w:tc>
        <w:tc>
          <w:tcPr/>
          <w:p>
            <w:pPr>
              <w:pStyle w:val="Compact"/>
              <w:jc w:val="left"/>
            </w:pPr>
            <w:r>
              <w:t xml:space="preserve">108.5</w:t>
            </w:r>
          </w:p>
        </w:tc>
        <w:tc>
          <w:tcPr/>
          <w:p>
            <w:pPr>
              <w:pStyle w:val="Compact"/>
              <w:jc w:val="left"/>
            </w:pPr>
            <w:r>
              <w:t xml:space="preserve">56.93</w:t>
            </w:r>
          </w:p>
        </w:tc>
        <w:tc>
          <w:tcPr/>
          <w:p>
            <w:pPr>
              <w:pStyle w:val="Compact"/>
              <w:jc w:val="left"/>
            </w:pPr>
            <w:r>
              <w:t xml:space="preserve">41.94</w:t>
            </w:r>
          </w:p>
        </w:tc>
        <w:tc>
          <w:tcPr/>
          <w:p>
            <w:pPr>
              <w:pStyle w:val="Compact"/>
              <w:jc w:val="left"/>
            </w:pPr>
            <w:r>
              <w:t xml:space="preserve">66.9</w:t>
            </w:r>
          </w:p>
        </w:tc>
        <w:tc>
          <w:tcPr/>
          <w:p>
            <w:pPr>
              <w:pStyle w:val="Compact"/>
              <w:jc w:val="left"/>
            </w:pPr>
            <w:r>
              <w:t xml:space="preserve">220.9</w:t>
            </w:r>
          </w:p>
        </w:tc>
        <w:tc>
          <w:tcPr/>
          <w:p>
            <w:pPr>
              <w:pStyle w:val="Compact"/>
              <w:jc w:val="left"/>
            </w:pPr>
            <w:r>
              <w:t xml:space="preserve">249.8</w:t>
            </w:r>
          </w:p>
        </w:tc>
        <w:tc>
          <w:tcPr/>
          <w:p>
            <w:pPr>
              <w:pStyle w:val="Compact"/>
              <w:jc w:val="left"/>
            </w:pPr>
            <w:r>
              <w:t xml:space="preserve">82.64</w:t>
            </w:r>
          </w:p>
        </w:tc>
        <w:tc>
          <w:tcPr/>
          <w:p>
            <w:pPr>
              <w:pStyle w:val="Compact"/>
              <w:jc w:val="left"/>
            </w:pPr>
            <w:r>
              <w:t xml:space="preserve">53.19</w:t>
            </w:r>
          </w:p>
        </w:tc>
        <w:tc>
          <w:tcPr/>
          <w:p>
            <w:pPr>
              <w:pStyle w:val="Compact"/>
              <w:jc w:val="left"/>
            </w:pPr>
            <w:r>
              <w:t xml:space="preserve">86.9</w:t>
            </w:r>
          </w:p>
        </w:tc>
      </w:tr>
      <w:tr>
        <w:tc>
          <w:tcPr/>
          <w:p>
            <w:pPr>
              <w:pStyle w:val="Compact"/>
              <w:jc w:val="left"/>
            </w:pPr>
            <w:r>
              <w:t xml:space="preserve">2013</w:t>
            </w:r>
          </w:p>
        </w:tc>
        <w:tc>
          <w:tcPr/>
          <w:p>
            <w:pPr>
              <w:pStyle w:val="Compact"/>
              <w:jc w:val="left"/>
            </w:pPr>
            <w:r>
              <w:t xml:space="preserve">89.9</w:t>
            </w:r>
          </w:p>
        </w:tc>
        <w:tc>
          <w:tcPr/>
          <w:p>
            <w:pPr>
              <w:pStyle w:val="Compact"/>
              <w:jc w:val="left"/>
            </w:pPr>
            <w:r>
              <w:t xml:space="preserve">100.6</w:t>
            </w:r>
          </w:p>
        </w:tc>
        <w:tc>
          <w:tcPr/>
          <w:p>
            <w:pPr>
              <w:pStyle w:val="Compact"/>
              <w:jc w:val="left"/>
            </w:pPr>
            <w:r>
              <w:t xml:space="preserve">48.08</w:t>
            </w:r>
          </w:p>
        </w:tc>
        <w:tc>
          <w:tcPr/>
          <w:p>
            <w:pPr>
              <w:pStyle w:val="Compact"/>
              <w:jc w:val="left"/>
            </w:pPr>
            <w:r>
              <w:t xml:space="preserve">32.26</w:t>
            </w:r>
          </w:p>
        </w:tc>
        <w:tc>
          <w:tcPr/>
          <w:p>
            <w:pPr>
              <w:pStyle w:val="Compact"/>
              <w:jc w:val="left"/>
            </w:pPr>
            <w:r>
              <w:t xml:space="preserve">53.74</w:t>
            </w:r>
          </w:p>
        </w:tc>
        <w:tc>
          <w:tcPr/>
          <w:p>
            <w:pPr>
              <w:pStyle w:val="Compact"/>
              <w:jc w:val="left"/>
            </w:pPr>
            <w:r>
              <w:t xml:space="preserve">209.1</w:t>
            </w:r>
          </w:p>
        </w:tc>
        <w:tc>
          <w:tcPr/>
          <w:p>
            <w:pPr>
              <w:pStyle w:val="Compact"/>
              <w:jc w:val="left"/>
            </w:pPr>
            <w:r>
              <w:t xml:space="preserve">241.8</w:t>
            </w:r>
          </w:p>
        </w:tc>
        <w:tc>
          <w:tcPr/>
          <w:p>
            <w:pPr>
              <w:pStyle w:val="Compact"/>
              <w:jc w:val="left"/>
            </w:pPr>
            <w:r>
              <w:t xml:space="preserve">72.97</w:t>
            </w:r>
          </w:p>
        </w:tc>
        <w:tc>
          <w:tcPr/>
          <w:p>
            <w:pPr>
              <w:pStyle w:val="Compact"/>
              <w:jc w:val="left"/>
            </w:pPr>
            <w:r>
              <w:t xml:space="preserve">41.66</w:t>
            </w:r>
          </w:p>
        </w:tc>
        <w:tc>
          <w:tcPr/>
          <w:p>
            <w:pPr>
              <w:pStyle w:val="Compact"/>
              <w:jc w:val="left"/>
            </w:pPr>
            <w:r>
              <w:t xml:space="preserve">71.04</w:t>
            </w:r>
          </w:p>
        </w:tc>
      </w:tr>
      <w:tr>
        <w:tc>
          <w:tcPr/>
          <w:p>
            <w:pPr>
              <w:pStyle w:val="Compact"/>
              <w:jc w:val="left"/>
            </w:pPr>
            <w:r>
              <w:t xml:space="preserve">2014</w:t>
            </w:r>
          </w:p>
        </w:tc>
        <w:tc>
          <w:tcPr/>
          <w:p>
            <w:pPr>
              <w:pStyle w:val="Compact"/>
              <w:jc w:val="left"/>
            </w:pPr>
            <w:r>
              <w:t xml:space="preserve">81.18</w:t>
            </w:r>
          </w:p>
        </w:tc>
        <w:tc>
          <w:tcPr/>
          <w:p>
            <w:pPr>
              <w:pStyle w:val="Compact"/>
              <w:jc w:val="left"/>
            </w:pPr>
            <w:r>
              <w:t xml:space="preserve">91.07</w:t>
            </w:r>
          </w:p>
        </w:tc>
        <w:tc>
          <w:tcPr/>
          <w:p>
            <w:pPr>
              <w:pStyle w:val="Compact"/>
              <w:jc w:val="left"/>
            </w:pPr>
            <w:r>
              <w:t xml:space="preserve">44.56</w:t>
            </w:r>
          </w:p>
        </w:tc>
        <w:tc>
          <w:tcPr/>
          <w:p>
            <w:pPr>
              <w:pStyle w:val="Compact"/>
              <w:jc w:val="left"/>
            </w:pPr>
            <w:r>
              <w:t xml:space="preserve">30.61</w:t>
            </w:r>
          </w:p>
        </w:tc>
        <w:tc>
          <w:tcPr/>
          <w:p>
            <w:pPr>
              <w:pStyle w:val="Compact"/>
              <w:jc w:val="left"/>
            </w:pPr>
            <w:r>
              <w:t xml:space="preserve">49.9</w:t>
            </w:r>
          </w:p>
        </w:tc>
        <w:tc>
          <w:tcPr/>
          <w:p>
            <w:pPr>
              <w:pStyle w:val="Compact"/>
              <w:jc w:val="left"/>
            </w:pPr>
            <w:r>
              <w:t xml:space="preserve">176.7</w:t>
            </w:r>
          </w:p>
        </w:tc>
        <w:tc>
          <w:tcPr/>
          <w:p>
            <w:pPr>
              <w:pStyle w:val="Compact"/>
              <w:jc w:val="left"/>
            </w:pPr>
            <w:r>
              <w:t xml:space="preserve">216.5</w:t>
            </w:r>
          </w:p>
        </w:tc>
        <w:tc>
          <w:tcPr/>
          <w:p>
            <w:pPr>
              <w:pStyle w:val="Compact"/>
              <w:jc w:val="left"/>
            </w:pPr>
            <w:r>
              <w:t xml:space="preserve">66.86</w:t>
            </w:r>
          </w:p>
        </w:tc>
        <w:tc>
          <w:tcPr/>
          <w:p>
            <w:pPr>
              <w:pStyle w:val="Compact"/>
              <w:jc w:val="left"/>
            </w:pPr>
            <w:r>
              <w:t xml:space="preserve">39.14</w:t>
            </w:r>
          </w:p>
        </w:tc>
        <w:tc>
          <w:tcPr/>
          <w:p>
            <w:pPr>
              <w:pStyle w:val="Compact"/>
              <w:jc w:val="left"/>
            </w:pPr>
            <w:r>
              <w:t xml:space="preserve">65.34</w:t>
            </w:r>
          </w:p>
        </w:tc>
      </w:tr>
      <w:tr>
        <w:tc>
          <w:tcPr/>
          <w:p>
            <w:pPr>
              <w:pStyle w:val="Compact"/>
              <w:jc w:val="left"/>
            </w:pPr>
            <w:r>
              <w:t xml:space="preserve">2015</w:t>
            </w:r>
          </w:p>
        </w:tc>
        <w:tc>
          <w:tcPr/>
          <w:p>
            <w:pPr>
              <w:pStyle w:val="Compact"/>
              <w:jc w:val="left"/>
            </w:pPr>
            <w:r>
              <w:t xml:space="preserve">73.36</w:t>
            </w:r>
          </w:p>
        </w:tc>
        <w:tc>
          <w:tcPr/>
          <w:p>
            <w:pPr>
              <w:pStyle w:val="Compact"/>
              <w:jc w:val="left"/>
            </w:pPr>
            <w:r>
              <w:t xml:space="preserve">74.87</w:t>
            </w:r>
          </w:p>
        </w:tc>
        <w:tc>
          <w:tcPr/>
          <w:p>
            <w:pPr>
              <w:pStyle w:val="Compact"/>
              <w:jc w:val="left"/>
            </w:pPr>
            <w:r>
              <w:t xml:space="preserve">32.58</w:t>
            </w:r>
          </w:p>
        </w:tc>
        <w:tc>
          <w:tcPr/>
          <w:p>
            <w:pPr>
              <w:pStyle w:val="Compact"/>
              <w:jc w:val="left"/>
            </w:pPr>
            <w:r>
              <w:t xml:space="preserve">22</w:t>
            </w:r>
          </w:p>
        </w:tc>
        <w:tc>
          <w:tcPr/>
          <w:p>
            <w:pPr>
              <w:pStyle w:val="Compact"/>
              <w:jc w:val="left"/>
            </w:pPr>
            <w:r>
              <w:t xml:space="preserve">35.82</w:t>
            </w:r>
          </w:p>
        </w:tc>
        <w:tc>
          <w:tcPr/>
          <w:p>
            <w:pPr>
              <w:pStyle w:val="Compact"/>
              <w:jc w:val="left"/>
            </w:pPr>
            <w:r>
              <w:t xml:space="preserve">187.6</w:t>
            </w:r>
          </w:p>
        </w:tc>
        <w:tc>
          <w:tcPr/>
          <w:p>
            <w:pPr>
              <w:pStyle w:val="Compact"/>
              <w:jc w:val="left"/>
            </w:pPr>
            <w:r>
              <w:t xml:space="preserve">185.8</w:t>
            </w:r>
          </w:p>
        </w:tc>
        <w:tc>
          <w:tcPr/>
          <w:p>
            <w:pPr>
              <w:pStyle w:val="Compact"/>
              <w:jc w:val="left"/>
            </w:pPr>
            <w:r>
              <w:t xml:space="preserve">49.27</w:t>
            </w:r>
          </w:p>
        </w:tc>
        <w:tc>
          <w:tcPr/>
          <w:p>
            <w:pPr>
              <w:pStyle w:val="Compact"/>
              <w:jc w:val="left"/>
            </w:pPr>
            <w:r>
              <w:t xml:space="preserve">28.05</w:t>
            </w:r>
          </w:p>
        </w:tc>
        <w:tc>
          <w:tcPr/>
          <w:p>
            <w:pPr>
              <w:pStyle w:val="Compact"/>
              <w:jc w:val="left"/>
            </w:pPr>
            <w:r>
              <w:t xml:space="preserve">46.74</w:t>
            </w:r>
          </w:p>
        </w:tc>
      </w:tr>
      <w:tr>
        <w:tc>
          <w:tcPr/>
          <w:p>
            <w:pPr>
              <w:pStyle w:val="Compact"/>
              <w:jc w:val="left"/>
            </w:pPr>
            <w:r>
              <w:t xml:space="preserve">2016</w:t>
            </w:r>
          </w:p>
        </w:tc>
        <w:tc>
          <w:tcPr/>
          <w:p>
            <w:pPr>
              <w:pStyle w:val="Compact"/>
              <w:jc w:val="left"/>
            </w:pPr>
            <w:r>
              <w:t xml:space="preserve">69.21</w:t>
            </w:r>
          </w:p>
        </w:tc>
        <w:tc>
          <w:tcPr/>
          <w:p>
            <w:pPr>
              <w:pStyle w:val="Compact"/>
              <w:jc w:val="left"/>
            </w:pPr>
            <w:r>
              <w:t xml:space="preserve">64.25</w:t>
            </w:r>
          </w:p>
        </w:tc>
        <w:tc>
          <w:tcPr/>
          <w:p>
            <w:pPr>
              <w:pStyle w:val="Compact"/>
              <w:jc w:val="left"/>
            </w:pPr>
            <w:r>
              <w:t xml:space="preserve">21</w:t>
            </w:r>
          </w:p>
        </w:tc>
        <w:tc>
          <w:tcPr/>
          <w:p>
            <w:pPr>
              <w:pStyle w:val="Compact"/>
              <w:jc w:val="left"/>
            </w:pPr>
            <w:r>
              <w:t xml:space="preserve">13.23</w:t>
            </w:r>
          </w:p>
        </w:tc>
        <w:tc>
          <w:tcPr/>
          <w:p>
            <w:pPr>
              <w:pStyle w:val="Compact"/>
              <w:jc w:val="left"/>
            </w:pPr>
            <w:r>
              <w:t xml:space="preserve">21.88</w:t>
            </w:r>
          </w:p>
        </w:tc>
        <w:tc>
          <w:tcPr/>
          <w:p>
            <w:pPr>
              <w:pStyle w:val="Compact"/>
              <w:jc w:val="left"/>
            </w:pPr>
            <w:r>
              <w:t xml:space="preserve">244.8</w:t>
            </w:r>
          </w:p>
        </w:tc>
        <w:tc>
          <w:tcPr/>
          <w:p>
            <w:pPr>
              <w:pStyle w:val="Compact"/>
              <w:jc w:val="left"/>
            </w:pPr>
            <w:r>
              <w:t xml:space="preserve">177.7</w:t>
            </w:r>
          </w:p>
        </w:tc>
        <w:tc>
          <w:tcPr/>
          <w:p>
            <w:pPr>
              <w:pStyle w:val="Compact"/>
              <w:jc w:val="left"/>
            </w:pPr>
            <w:r>
              <w:t xml:space="preserve">32.69</w:t>
            </w:r>
          </w:p>
        </w:tc>
        <w:tc>
          <w:tcPr/>
          <w:p>
            <w:pPr>
              <w:pStyle w:val="Compact"/>
              <w:jc w:val="left"/>
            </w:pPr>
            <w:r>
              <w:t xml:space="preserve">16.95</w:t>
            </w:r>
          </w:p>
        </w:tc>
        <w:tc>
          <w:tcPr/>
          <w:p>
            <w:pPr>
              <w:pStyle w:val="Compact"/>
              <w:jc w:val="left"/>
            </w:pPr>
            <w:r>
              <w:t xml:space="preserve">28.67</w:t>
            </w:r>
          </w:p>
        </w:tc>
      </w:tr>
      <w:tr>
        <w:tc>
          <w:tcPr/>
          <w:p>
            <w:pPr>
              <w:pStyle w:val="Compact"/>
              <w:jc w:val="left"/>
            </w:pPr>
            <w:r>
              <w:t xml:space="preserve">2017</w:t>
            </w:r>
          </w:p>
        </w:tc>
        <w:tc>
          <w:tcPr/>
          <w:p>
            <w:pPr>
              <w:pStyle w:val="Compact"/>
              <w:jc w:val="left"/>
            </w:pPr>
            <w:r>
              <w:t xml:space="preserve">83.12</w:t>
            </w:r>
          </w:p>
        </w:tc>
        <w:tc>
          <w:tcPr/>
          <w:p>
            <w:pPr>
              <w:pStyle w:val="Compact"/>
              <w:jc w:val="left"/>
            </w:pPr>
            <w:r>
              <w:t xml:space="preserve">97.14</w:t>
            </w:r>
          </w:p>
        </w:tc>
        <w:tc>
          <w:tcPr/>
          <w:p>
            <w:pPr>
              <w:pStyle w:val="Compact"/>
              <w:jc w:val="left"/>
            </w:pPr>
            <w:r>
              <w:t xml:space="preserve">25.66</w:t>
            </w:r>
          </w:p>
        </w:tc>
        <w:tc>
          <w:tcPr/>
          <w:p>
            <w:pPr>
              <w:pStyle w:val="Compact"/>
              <w:jc w:val="left"/>
            </w:pPr>
            <w:r>
              <w:t xml:space="preserve">16.03</w:t>
            </w:r>
          </w:p>
        </w:tc>
        <w:tc>
          <w:tcPr/>
          <w:p>
            <w:pPr>
              <w:pStyle w:val="Compact"/>
              <w:jc w:val="left"/>
            </w:pPr>
            <w:r>
              <w:t xml:space="preserve">26.89</w:t>
            </w:r>
          </w:p>
        </w:tc>
        <w:tc>
          <w:tcPr/>
          <w:p>
            <w:pPr>
              <w:pStyle w:val="Compact"/>
              <w:jc w:val="left"/>
            </w:pPr>
            <w:r>
              <w:t xml:space="preserve">391.4</w:t>
            </w:r>
          </w:p>
        </w:tc>
        <w:tc>
          <w:tcPr/>
          <w:p>
            <w:pPr>
              <w:pStyle w:val="Compact"/>
              <w:jc w:val="left"/>
            </w:pPr>
            <w:r>
              <w:t xml:space="preserve">287.4</w:t>
            </w:r>
          </w:p>
        </w:tc>
        <w:tc>
          <w:tcPr/>
          <w:p>
            <w:pPr>
              <w:pStyle w:val="Compact"/>
              <w:jc w:val="left"/>
            </w:pPr>
            <w:r>
              <w:t xml:space="preserve">40.11</w:t>
            </w:r>
          </w:p>
        </w:tc>
        <w:tc>
          <w:tcPr/>
          <w:p>
            <w:pPr>
              <w:pStyle w:val="Compact"/>
              <w:jc w:val="left"/>
            </w:pPr>
            <w:r>
              <w:t xml:space="preserve">20.75</w:t>
            </w:r>
          </w:p>
        </w:tc>
        <w:tc>
          <w:tcPr/>
          <w:p>
            <w:pPr>
              <w:pStyle w:val="Compact"/>
              <w:jc w:val="left"/>
            </w:pPr>
            <w:r>
              <w:t xml:space="preserve">35.63</w:t>
            </w:r>
          </w:p>
        </w:tc>
      </w:tr>
      <w:tr>
        <w:tc>
          <w:tcPr/>
          <w:p>
            <w:pPr>
              <w:pStyle w:val="Compact"/>
              <w:jc w:val="left"/>
            </w:pPr>
            <w:r>
              <w:t xml:space="preserve">2018</w:t>
            </w:r>
          </w:p>
        </w:tc>
        <w:tc>
          <w:tcPr/>
          <w:p>
            <w:pPr>
              <w:pStyle w:val="Compact"/>
              <w:jc w:val="left"/>
            </w:pPr>
            <w:r>
              <w:t xml:space="preserve">125.7</w:t>
            </w:r>
          </w:p>
        </w:tc>
        <w:tc>
          <w:tcPr/>
          <w:p>
            <w:pPr>
              <w:pStyle w:val="Compact"/>
              <w:jc w:val="left"/>
            </w:pPr>
            <w:r>
              <w:t xml:space="preserve">166.7</w:t>
            </w:r>
          </w:p>
        </w:tc>
        <w:tc>
          <w:tcPr/>
          <w:p>
            <w:pPr>
              <w:pStyle w:val="Compact"/>
              <w:jc w:val="left"/>
            </w:pPr>
            <w:r>
              <w:t xml:space="preserve">37.64</w:t>
            </w:r>
          </w:p>
        </w:tc>
        <w:tc>
          <w:tcPr/>
          <w:p>
            <w:pPr>
              <w:pStyle w:val="Compact"/>
              <w:jc w:val="left"/>
            </w:pPr>
            <w:r>
              <w:t xml:space="preserve">22.71</w:t>
            </w:r>
          </w:p>
        </w:tc>
        <w:tc>
          <w:tcPr/>
          <w:p>
            <w:pPr>
              <w:pStyle w:val="Compact"/>
              <w:jc w:val="left"/>
            </w:pPr>
            <w:r>
              <w:t xml:space="preserve">39.35</w:t>
            </w:r>
          </w:p>
        </w:tc>
        <w:tc>
          <w:tcPr/>
          <w:p>
            <w:pPr>
              <w:pStyle w:val="Compact"/>
              <w:jc w:val="left"/>
            </w:pPr>
            <w:r>
              <w:t xml:space="preserve">353.7</w:t>
            </w:r>
          </w:p>
        </w:tc>
        <w:tc>
          <w:tcPr/>
          <w:p>
            <w:pPr>
              <w:pStyle w:val="Compact"/>
              <w:jc w:val="left"/>
            </w:pPr>
            <w:r>
              <w:t xml:space="preserve">494.2</w:t>
            </w:r>
          </w:p>
        </w:tc>
        <w:tc>
          <w:tcPr/>
          <w:p>
            <w:pPr>
              <w:pStyle w:val="Compact"/>
              <w:jc w:val="left"/>
            </w:pPr>
            <w:r>
              <w:t xml:space="preserve">59.69</w:t>
            </w:r>
          </w:p>
        </w:tc>
        <w:tc>
          <w:tcPr/>
          <w:p>
            <w:pPr>
              <w:pStyle w:val="Compact"/>
              <w:jc w:val="left"/>
            </w:pPr>
            <w:r>
              <w:t xml:space="preserve">29.84</w:t>
            </w:r>
          </w:p>
        </w:tc>
        <w:tc>
          <w:tcPr/>
          <w:p>
            <w:pPr>
              <w:pStyle w:val="Compact"/>
              <w:jc w:val="left"/>
            </w:pPr>
            <w:r>
              <w:t xml:space="preserve">52.84</w:t>
            </w:r>
          </w:p>
        </w:tc>
      </w:tr>
      <w:tr>
        <w:tc>
          <w:tcPr/>
          <w:p>
            <w:pPr>
              <w:pStyle w:val="Compact"/>
              <w:jc w:val="left"/>
            </w:pPr>
            <w:r>
              <w:t xml:space="preserve">2019</w:t>
            </w:r>
          </w:p>
        </w:tc>
        <w:tc>
          <w:tcPr/>
          <w:p>
            <w:pPr>
              <w:pStyle w:val="Compact"/>
              <w:jc w:val="left"/>
            </w:pPr>
            <w:r>
              <w:t xml:space="preserve">112.3</w:t>
            </w:r>
          </w:p>
        </w:tc>
        <w:tc>
          <w:tcPr/>
          <w:p>
            <w:pPr>
              <w:pStyle w:val="Compact"/>
              <w:jc w:val="left"/>
            </w:pPr>
            <w:r>
              <w:t xml:space="preserve">145.9</w:t>
            </w:r>
          </w:p>
        </w:tc>
        <w:tc>
          <w:tcPr/>
          <w:p>
            <w:pPr>
              <w:pStyle w:val="Compact"/>
              <w:jc w:val="left"/>
            </w:pPr>
            <w:r>
              <w:t xml:space="preserve">53.26</w:t>
            </w:r>
          </w:p>
        </w:tc>
        <w:tc>
          <w:tcPr/>
          <w:p>
            <w:pPr>
              <w:pStyle w:val="Compact"/>
              <w:jc w:val="left"/>
            </w:pPr>
            <w:r>
              <w:t xml:space="preserve">31.95</w:t>
            </w:r>
          </w:p>
        </w:tc>
        <w:tc>
          <w:tcPr/>
          <w:p>
            <w:pPr>
              <w:pStyle w:val="Compact"/>
              <w:jc w:val="left"/>
            </w:pPr>
            <w:r>
              <w:t xml:space="preserve">56.97</w:t>
            </w:r>
          </w:p>
        </w:tc>
        <w:tc>
          <w:tcPr/>
          <w:p>
            <w:pPr>
              <w:pStyle w:val="Compact"/>
              <w:jc w:val="left"/>
            </w:pPr>
            <w:r>
              <w:t xml:space="preserve">196.7</w:t>
            </w:r>
          </w:p>
        </w:tc>
        <w:tc>
          <w:tcPr/>
          <w:p>
            <w:pPr>
              <w:pStyle w:val="Compact"/>
              <w:jc w:val="left"/>
            </w:pPr>
            <w:r>
              <w:t xml:space="preserve">386.3</w:t>
            </w:r>
          </w:p>
        </w:tc>
        <w:tc>
          <w:tcPr/>
          <w:p>
            <w:pPr>
              <w:pStyle w:val="Compact"/>
              <w:jc w:val="left"/>
            </w:pPr>
            <w:r>
              <w:t xml:space="preserve">84.76</w:t>
            </w:r>
          </w:p>
        </w:tc>
        <w:tc>
          <w:tcPr/>
          <w:p>
            <w:pPr>
              <w:pStyle w:val="Compact"/>
              <w:jc w:val="left"/>
            </w:pPr>
            <w:r>
              <w:t xml:space="preserve">42.57</w:t>
            </w:r>
          </w:p>
        </w:tc>
        <w:tc>
          <w:tcPr/>
          <w:p>
            <w:pPr>
              <w:pStyle w:val="Compact"/>
              <w:jc w:val="left"/>
            </w:pPr>
            <w:r>
              <w:t xml:space="preserve">77.4</w:t>
            </w:r>
          </w:p>
        </w:tc>
      </w:tr>
      <w:tr>
        <w:tc>
          <w:tcPr/>
          <w:p>
            <w:pPr>
              <w:pStyle w:val="Compact"/>
              <w:jc w:val="left"/>
            </w:pPr>
            <w:r>
              <w:t xml:space="preserve">2020</w:t>
            </w:r>
          </w:p>
        </w:tc>
        <w:tc>
          <w:tcPr/>
          <w:p>
            <w:pPr>
              <w:pStyle w:val="Compact"/>
              <w:jc w:val="left"/>
            </w:pPr>
            <w:r>
              <w:t xml:space="preserve">NA</w:t>
            </w:r>
          </w:p>
        </w:tc>
        <w:tc>
          <w:tcPr/>
          <w:p>
            <w:pPr>
              <w:pStyle w:val="Compact"/>
              <w:jc w:val="left"/>
            </w:pPr>
            <w:r>
              <w:t xml:space="preserve">NA</w:t>
            </w:r>
          </w:p>
        </w:tc>
        <w:tc>
          <w:tcPr/>
          <w:p>
            <w:pPr>
              <w:pStyle w:val="Compact"/>
              <w:jc w:val="left"/>
            </w:pPr>
            <w:r>
              <w:t xml:space="preserve">29.36</w:t>
            </w:r>
          </w:p>
        </w:tc>
        <w:tc>
          <w:tcPr/>
          <w:p>
            <w:pPr>
              <w:pStyle w:val="Compact"/>
              <w:jc w:val="left"/>
            </w:pPr>
            <w:r>
              <w:t xml:space="preserve">15.88</w:t>
            </w:r>
          </w:p>
        </w:tc>
        <w:tc>
          <w:tcPr/>
          <w:p>
            <w:pPr>
              <w:pStyle w:val="Compact"/>
              <w:jc w:val="left"/>
            </w:pPr>
            <w:r>
              <w:t xml:space="preserve">28.59</w:t>
            </w:r>
          </w:p>
        </w:tc>
        <w:tc>
          <w:tcPr/>
          <w:p>
            <w:pPr>
              <w:pStyle w:val="Compact"/>
              <w:jc w:val="left"/>
            </w:pPr>
            <w:r>
              <w:t xml:space="preserve">104.8</w:t>
            </w:r>
          </w:p>
        </w:tc>
        <w:tc>
          <w:tcPr/>
          <w:p>
            <w:pPr>
              <w:pStyle w:val="Compact"/>
              <w:jc w:val="left"/>
            </w:pPr>
            <w:r>
              <w:t xml:space="preserve">248.8</w:t>
            </w:r>
          </w:p>
        </w:tc>
        <w:tc>
          <w:tcPr/>
          <w:p>
            <w:pPr>
              <w:pStyle w:val="Compact"/>
              <w:jc w:val="left"/>
            </w:pPr>
            <w:r>
              <w:t xml:space="preserve">48.27</w:t>
            </w:r>
          </w:p>
        </w:tc>
        <w:tc>
          <w:tcPr/>
          <w:p>
            <w:pPr>
              <w:pStyle w:val="Compact"/>
              <w:jc w:val="left"/>
            </w:pPr>
            <w:r>
              <w:t xml:space="preserve">21.32</w:t>
            </w:r>
          </w:p>
        </w:tc>
        <w:tc>
          <w:tcPr/>
          <w:p>
            <w:pPr>
              <w:pStyle w:val="Compact"/>
              <w:jc w:val="left"/>
            </w:pPr>
            <w:r>
              <w:t xml:space="preserve">39.16</w:t>
            </w:r>
          </w:p>
        </w:tc>
      </w:tr>
      <w:tr>
        <w:tc>
          <w:tcPr/>
          <w:p>
            <w:pPr>
              <w:pStyle w:val="Compact"/>
              <w:jc w:val="left"/>
            </w:pPr>
            <w:r>
              <w:t xml:space="preserve">2021</w:t>
            </w:r>
          </w:p>
        </w:tc>
        <w:tc>
          <w:tcPr/>
          <w:p>
            <w:pPr>
              <w:pStyle w:val="Compact"/>
              <w:jc w:val="left"/>
            </w:pPr>
            <w:r>
              <w:t xml:space="preserve">45.14</w:t>
            </w:r>
          </w:p>
        </w:tc>
        <w:tc>
          <w:tcPr/>
          <w:p>
            <w:pPr>
              <w:pStyle w:val="Compact"/>
              <w:jc w:val="left"/>
            </w:pPr>
            <w:r>
              <w:t xml:space="preserve">71.88</w:t>
            </w:r>
          </w:p>
        </w:tc>
        <w:tc>
          <w:tcPr/>
          <w:p>
            <w:pPr>
              <w:pStyle w:val="Compact"/>
              <w:jc w:val="left"/>
            </w:pPr>
            <w:r>
              <w:t xml:space="preserve">22.39</w:t>
            </w:r>
          </w:p>
        </w:tc>
        <w:tc>
          <w:tcPr/>
          <w:p>
            <w:pPr>
              <w:pStyle w:val="Compact"/>
              <w:jc w:val="left"/>
            </w:pPr>
            <w:r>
              <w:t xml:space="preserve">12.93</w:t>
            </w:r>
          </w:p>
        </w:tc>
        <w:tc>
          <w:tcPr/>
          <w:p>
            <w:pPr>
              <w:pStyle w:val="Compact"/>
              <w:jc w:val="left"/>
            </w:pPr>
            <w:r>
              <w:t xml:space="preserve">21.8</w:t>
            </w:r>
          </w:p>
        </w:tc>
        <w:tc>
          <w:tcPr/>
          <w:p>
            <w:pPr>
              <w:pStyle w:val="Compact"/>
              <w:jc w:val="left"/>
            </w:pPr>
            <w:r>
              <w:t xml:space="preserve">104.4</w:t>
            </w:r>
          </w:p>
        </w:tc>
        <w:tc>
          <w:tcPr/>
          <w:p>
            <w:pPr>
              <w:pStyle w:val="Compact"/>
              <w:jc w:val="left"/>
            </w:pPr>
            <w:r>
              <w:t xml:space="preserve">199.5</w:t>
            </w:r>
          </w:p>
        </w:tc>
        <w:tc>
          <w:tcPr/>
          <w:p>
            <w:pPr>
              <w:pStyle w:val="Compact"/>
              <w:jc w:val="left"/>
            </w:pPr>
            <w:r>
              <w:t xml:space="preserve">35.93</w:t>
            </w:r>
          </w:p>
        </w:tc>
        <w:tc>
          <w:tcPr/>
          <w:p>
            <w:pPr>
              <w:pStyle w:val="Compact"/>
              <w:jc w:val="left"/>
            </w:pPr>
            <w:r>
              <w:t xml:space="preserve">16.8</w:t>
            </w:r>
          </w:p>
        </w:tc>
        <w:tc>
          <w:tcPr/>
          <w:p>
            <w:pPr>
              <w:pStyle w:val="Compact"/>
              <w:jc w:val="left"/>
            </w:pPr>
            <w:r>
              <w:t xml:space="preserve">28.99</w:t>
            </w:r>
          </w:p>
        </w:tc>
      </w:tr>
      <w:tr>
        <w:tc>
          <w:tcPr/>
          <w:p>
            <w:pPr>
              <w:pStyle w:val="Compact"/>
              <w:jc w:val="left"/>
            </w:pPr>
            <w:r>
              <w:t xml:space="preserve">2022</w:t>
            </w:r>
          </w:p>
        </w:tc>
        <w:tc>
          <w:tcPr/>
          <w:p>
            <w:pPr>
              <w:pStyle w:val="Compact"/>
              <w:jc w:val="left"/>
            </w:pPr>
            <w:r>
              <w:t xml:space="preserve">40.21</w:t>
            </w:r>
          </w:p>
        </w:tc>
        <w:tc>
          <w:tcPr/>
          <w:p>
            <w:pPr>
              <w:pStyle w:val="Compact"/>
              <w:jc w:val="left"/>
            </w:pPr>
            <w:r>
              <w:t xml:space="preserve">58.31</w:t>
            </w:r>
          </w:p>
        </w:tc>
        <w:tc>
          <w:tcPr/>
          <w:p>
            <w:pPr>
              <w:pStyle w:val="Compact"/>
              <w:jc w:val="left"/>
            </w:pPr>
            <w:r>
              <w:t xml:space="preserve">19.1</w:t>
            </w:r>
          </w:p>
        </w:tc>
        <w:tc>
          <w:tcPr/>
          <w:p>
            <w:pPr>
              <w:pStyle w:val="Compact"/>
              <w:jc w:val="left"/>
            </w:pPr>
            <w:r>
              <w:t xml:space="preserve">11.71</w:t>
            </w:r>
          </w:p>
        </w:tc>
        <w:tc>
          <w:tcPr/>
          <w:p>
            <w:pPr>
              <w:pStyle w:val="Compact"/>
              <w:jc w:val="left"/>
            </w:pPr>
            <w:r>
              <w:t xml:space="preserve">19.29</w:t>
            </w:r>
          </w:p>
        </w:tc>
        <w:tc>
          <w:tcPr/>
          <w:p>
            <w:pPr>
              <w:pStyle w:val="Compact"/>
              <w:jc w:val="left"/>
            </w:pPr>
            <w:r>
              <w:t xml:space="preserve">107.3</w:t>
            </w:r>
          </w:p>
        </w:tc>
        <w:tc>
          <w:tcPr/>
          <w:p>
            <w:pPr>
              <w:pStyle w:val="Compact"/>
              <w:jc w:val="left"/>
            </w:pPr>
            <w:r>
              <w:t xml:space="preserve">160.6</w:t>
            </w:r>
          </w:p>
        </w:tc>
        <w:tc>
          <w:tcPr/>
          <w:p>
            <w:pPr>
              <w:pStyle w:val="Compact"/>
              <w:jc w:val="left"/>
            </w:pPr>
            <w:r>
              <w:t xml:space="preserve">30</w:t>
            </w:r>
          </w:p>
        </w:tc>
        <w:tc>
          <w:tcPr/>
          <w:p>
            <w:pPr>
              <w:pStyle w:val="Compact"/>
              <w:jc w:val="left"/>
            </w:pPr>
            <w:r>
              <w:t xml:space="preserve">15.04</w:t>
            </w:r>
          </w:p>
        </w:tc>
        <w:tc>
          <w:tcPr/>
          <w:p>
            <w:pPr>
              <w:pStyle w:val="Compact"/>
              <w:jc w:val="left"/>
            </w:pPr>
            <w:r>
              <w:t xml:space="preserve">25.38</w:t>
            </w:r>
          </w:p>
        </w:tc>
      </w:tr>
      <w:tr>
        <w:tc>
          <w:tcPr/>
          <w:p>
            <w:pPr>
              <w:pStyle w:val="Compact"/>
              <w:jc w:val="left"/>
            </w:pPr>
            <w:r>
              <w:t xml:space="preserve">2023</w:t>
            </w:r>
          </w:p>
        </w:tc>
        <w:tc>
          <w:tcPr/>
          <w:p>
            <w:pPr>
              <w:pStyle w:val="Compact"/>
              <w:jc w:val="left"/>
            </w:pPr>
            <w:r>
              <w:t xml:space="preserve">41.63</w:t>
            </w:r>
          </w:p>
        </w:tc>
        <w:tc>
          <w:tcPr/>
          <w:p>
            <w:pPr>
              <w:pStyle w:val="Compact"/>
              <w:jc w:val="left"/>
            </w:pPr>
            <w:r>
              <w:t xml:space="preserve">50.27</w:t>
            </w:r>
          </w:p>
        </w:tc>
        <w:tc>
          <w:tcPr/>
          <w:p>
            <w:pPr>
              <w:pStyle w:val="Compact"/>
              <w:jc w:val="left"/>
            </w:pPr>
            <w:r>
              <w:t xml:space="preserve">16.51</w:t>
            </w:r>
          </w:p>
        </w:tc>
        <w:tc>
          <w:tcPr/>
          <w:p>
            <w:pPr>
              <w:pStyle w:val="Compact"/>
              <w:jc w:val="left"/>
            </w:pPr>
            <w:r>
              <w:t xml:space="preserve">10.66</w:t>
            </w:r>
          </w:p>
        </w:tc>
        <w:tc>
          <w:tcPr/>
          <w:p>
            <w:pPr>
              <w:pStyle w:val="Compact"/>
              <w:jc w:val="left"/>
            </w:pPr>
            <w:r>
              <w:t xml:space="preserve">17.12</w:t>
            </w:r>
          </w:p>
        </w:tc>
        <w:tc>
          <w:tcPr/>
          <w:p>
            <w:pPr>
              <w:pStyle w:val="Compact"/>
              <w:jc w:val="left"/>
            </w:pPr>
            <w:r>
              <w:t xml:space="preserve">144.9</w:t>
            </w:r>
          </w:p>
        </w:tc>
        <w:tc>
          <w:tcPr/>
          <w:p>
            <w:pPr>
              <w:pStyle w:val="Compact"/>
              <w:jc w:val="left"/>
            </w:pPr>
            <w:r>
              <w:t xml:space="preserve">139.2</w:t>
            </w:r>
          </w:p>
        </w:tc>
        <w:tc>
          <w:tcPr/>
          <w:p>
            <w:pPr>
              <w:pStyle w:val="Compact"/>
              <w:jc w:val="left"/>
            </w:pPr>
            <w:r>
              <w:t xml:space="preserve">25.37</w:t>
            </w:r>
          </w:p>
        </w:tc>
        <w:tc>
          <w:tcPr/>
          <w:p>
            <w:pPr>
              <w:pStyle w:val="Compact"/>
              <w:jc w:val="left"/>
            </w:pPr>
            <w:r>
              <w:t xml:space="preserve">13.57</w:t>
            </w:r>
          </w:p>
        </w:tc>
        <w:tc>
          <w:tcPr/>
          <w:p>
            <w:pPr>
              <w:pStyle w:val="Compact"/>
              <w:jc w:val="left"/>
            </w:pPr>
            <w:r>
              <w:t xml:space="preserve">22.34</w:t>
            </w:r>
          </w:p>
        </w:tc>
      </w:tr>
      <w:tr>
        <w:tc>
          <w:tcPr/>
          <w:p>
            <w:pPr>
              <w:pStyle w:val="Compact"/>
              <w:jc w:val="left"/>
            </w:pPr>
            <w:r>
              <w:t xml:space="preserve">2024</w:t>
            </w:r>
          </w:p>
        </w:tc>
        <w:tc>
          <w:tcPr/>
          <w:p>
            <w:pPr>
              <w:pStyle w:val="Compact"/>
              <w:jc w:val="left"/>
            </w:pPr>
            <w:r>
              <w:t xml:space="preserve">50.15</w:t>
            </w:r>
          </w:p>
        </w:tc>
        <w:tc>
          <w:tcPr/>
          <w:p>
            <w:pPr>
              <w:pStyle w:val="Compact"/>
              <w:jc w:val="left"/>
            </w:pPr>
            <w:r>
              <w:t xml:space="preserve">57.12</w:t>
            </w:r>
          </w:p>
        </w:tc>
        <w:tc>
          <w:tcPr/>
          <w:p>
            <w:pPr>
              <w:pStyle w:val="Compact"/>
              <w:jc w:val="left"/>
            </w:pPr>
            <w:r>
              <w:t xml:space="preserve">16.27</w:t>
            </w:r>
          </w:p>
        </w:tc>
        <w:tc>
          <w:tcPr/>
          <w:p>
            <w:pPr>
              <w:pStyle w:val="Compact"/>
              <w:jc w:val="left"/>
            </w:pPr>
            <w:r>
              <w:t xml:space="preserve">10.34</w:t>
            </w:r>
          </w:p>
        </w:tc>
        <w:tc>
          <w:tcPr/>
          <w:p>
            <w:pPr>
              <w:pStyle w:val="Compact"/>
              <w:jc w:val="left"/>
            </w:pPr>
            <w:r>
              <w:t xml:space="preserve">16.95</w:t>
            </w:r>
          </w:p>
        </w:tc>
        <w:tc>
          <w:tcPr/>
          <w:p>
            <w:pPr>
              <w:pStyle w:val="Compact"/>
              <w:jc w:val="left"/>
            </w:pPr>
            <w:r>
              <w:t xml:space="preserve">158.3</w:t>
            </w:r>
          </w:p>
        </w:tc>
        <w:tc>
          <w:tcPr/>
          <w:p>
            <w:pPr>
              <w:pStyle w:val="Compact"/>
              <w:jc w:val="left"/>
            </w:pPr>
            <w:r>
              <w:t xml:space="preserve">166.7</w:t>
            </w:r>
          </w:p>
        </w:tc>
        <w:tc>
          <w:tcPr/>
          <w:p>
            <w:pPr>
              <w:pStyle w:val="Compact"/>
              <w:jc w:val="left"/>
            </w:pPr>
            <w:r>
              <w:t xml:space="preserve">25.19</w:t>
            </w:r>
          </w:p>
        </w:tc>
        <w:tc>
          <w:tcPr/>
          <w:p>
            <w:pPr>
              <w:pStyle w:val="Compact"/>
              <w:jc w:val="left"/>
            </w:pPr>
            <w:r>
              <w:t xml:space="preserve">13.28</w:t>
            </w:r>
          </w:p>
        </w:tc>
        <w:tc>
          <w:tcPr/>
          <w:p>
            <w:pPr>
              <w:pStyle w:val="Compact"/>
              <w:jc w:val="left"/>
            </w:pPr>
            <w:r>
              <w:t xml:space="preserve">22.32</w:t>
            </w:r>
          </w:p>
        </w:tc>
      </w:tr>
      <w:tr>
        <w:tc>
          <w:tcPr/>
          <w:p>
            <w:pPr>
              <w:pStyle w:val="Compact"/>
              <w:jc w:val="left"/>
            </w:pPr>
            <w:r>
              <w:t xml:space="preserve">2025</w:t>
            </w:r>
          </w:p>
        </w:tc>
        <w:tc>
          <w:tcPr/>
          <w:p>
            <w:pPr>
              <w:pStyle w:val="Compact"/>
              <w:jc w:val="left"/>
            </w:pPr>
            <w:r>
              <w:t xml:space="preserve">61.06</w:t>
            </w:r>
          </w:p>
        </w:tc>
        <w:tc>
          <w:tcPr/>
          <w:p>
            <w:pPr>
              <w:pStyle w:val="Compact"/>
              <w:jc w:val="left"/>
            </w:pPr>
            <w:r>
              <w:t xml:space="preserve">87.44</w:t>
            </w:r>
          </w:p>
        </w:tc>
        <w:tc>
          <w:tcPr/>
          <w:p>
            <w:pPr>
              <w:pStyle w:val="Compact"/>
              <w:jc w:val="left"/>
            </w:pPr>
            <w:r>
              <w:t xml:space="preserve">25.86</w:t>
            </w:r>
          </w:p>
        </w:tc>
        <w:tc>
          <w:tcPr/>
          <w:p>
            <w:pPr>
              <w:pStyle w:val="Compact"/>
              <w:jc w:val="left"/>
            </w:pPr>
            <w:r>
              <w:t xml:space="preserve">17.21</w:t>
            </w:r>
          </w:p>
        </w:tc>
        <w:tc>
          <w:tcPr/>
          <w:p>
            <w:pPr>
              <w:pStyle w:val="Compact"/>
              <w:jc w:val="left"/>
            </w:pPr>
            <w:r>
              <w:t xml:space="preserve">28.62</w:t>
            </w:r>
          </w:p>
        </w:tc>
        <w:tc>
          <w:tcPr/>
          <w:p>
            <w:pPr>
              <w:pStyle w:val="Compact"/>
              <w:jc w:val="left"/>
            </w:pPr>
            <w:r>
              <w:t xml:space="preserve">138.4</w:t>
            </w:r>
          </w:p>
        </w:tc>
        <w:tc>
          <w:tcPr/>
          <w:p>
            <w:pPr>
              <w:pStyle w:val="Compact"/>
              <w:jc w:val="left"/>
            </w:pPr>
            <w:r>
              <w:t xml:space="preserve">246.2</w:t>
            </w:r>
          </w:p>
        </w:tc>
        <w:tc>
          <w:tcPr/>
          <w:p>
            <w:pPr>
              <w:pStyle w:val="Compact"/>
              <w:jc w:val="left"/>
            </w:pPr>
            <w:r>
              <w:t xml:space="preserve">39.39</w:t>
            </w:r>
          </w:p>
        </w:tc>
        <w:tc>
          <w:tcPr/>
          <w:p>
            <w:pPr>
              <w:pStyle w:val="Compact"/>
              <w:jc w:val="left"/>
            </w:pPr>
            <w:r>
              <w:t xml:space="preserve">22.19</w:t>
            </w:r>
          </w:p>
        </w:tc>
        <w:tc>
          <w:tcPr/>
          <w:p>
            <w:pPr>
              <w:pStyle w:val="Compact"/>
              <w:jc w:val="left"/>
            </w:pPr>
            <w:r>
              <w:t xml:space="preserve">37.78</w:t>
            </w:r>
          </w:p>
        </w:tc>
      </w:tr>
    </w:tbl>
    <w:p>
      <w:r>
        <w:br w:type="page"/>
      </w:r>
    </w:p>
    <w:p>
      <w:pPr>
        <w:pStyle w:val="TableCaption"/>
      </w:pPr>
      <w:r>
        <w:t xml:space="preserve"> </w:t>
      </w:r>
      <w:r>
        <w:t xml:space="preserve">Maximum likelihood estimates of total numbers of crab (billions), not subject to survey selectivity at the time of the survey.</w:t>
      </w:r>
    </w:p>
    <w:tbl>
      <w:tblPr>
        <w:tblStyle w:val="Table"/>
        <w:tblW w:type="pct" w:w="1944"/>
        <w:tblLayout w:type="fixed"/>
        <w:tblLook w:firstRow="1" w:lastRow="0" w:firstColumn="0" w:lastColumn="0" w:noHBand="0" w:noVBand="0" w:val="0020"/>
        <w:tblCaption w:val=" Maximum likelihood estimates of total numbers of crab (billions), not subject to survey selectivity at the time of the survey."/>
      </w:tblPr>
      <w:tblGrid>
        <w:gridCol w:w="990"/>
        <w:gridCol w:w="990"/>
        <w:gridCol w:w="1100"/>
      </w:tblGrid>
      <w:tr>
        <w:trPr>
          <w:tblHeader w:val="on"/>
        </w:trPr>
        <w:tc>
          <w:tcPr/>
          <w:p>
            <w:pPr>
              <w:pStyle w:val="Compact"/>
              <w:jc w:val="center"/>
            </w:pPr>
            <w:r>
              <w:t xml:space="preserve"> </w:t>
            </w:r>
          </w:p>
        </w:tc>
        <w:tc>
          <w:tcPr/>
          <w:p>
            <w:pPr>
              <w:pStyle w:val="Compact"/>
              <w:jc w:val="left"/>
            </w:pPr>
            <w:r>
              <w:t xml:space="preserve">Survey</w:t>
            </w:r>
            <w:r>
              <w:t xml:space="preserve"> </w:t>
            </w:r>
            <w:r>
              <w:t xml:space="preserve">year</w:t>
            </w:r>
          </w:p>
        </w:tc>
        <w:tc>
          <w:tcPr/>
          <w:p>
            <w:pPr>
              <w:pStyle w:val="Compact"/>
              <w:jc w:val="left"/>
            </w:pPr>
            <w:r>
              <w:t xml:space="preserve">Total</w:t>
            </w:r>
            <w:r>
              <w:t xml:space="preserve"> </w:t>
            </w:r>
            <w:r>
              <w:t xml:space="preserve">numbers</w:t>
            </w:r>
          </w:p>
        </w:tc>
      </w:tr>
      <w:tr>
        <w:tc>
          <w:tcPr/>
          <w:p>
            <w:pPr>
              <w:pStyle w:val="Compact"/>
              <w:jc w:val="center"/>
            </w:pPr>
            <w:r>
              <w:rPr>
                <w:b/>
                <w:bCs/>
              </w:rPr>
              <w:t xml:space="preserve">2</w:t>
            </w:r>
          </w:p>
        </w:tc>
        <w:tc>
          <w:tcPr/>
          <w:p>
            <w:pPr>
              <w:pStyle w:val="Compact"/>
              <w:jc w:val="left"/>
            </w:pPr>
            <w:r>
              <w:t xml:space="preserve">1982</w:t>
            </w:r>
          </w:p>
        </w:tc>
        <w:tc>
          <w:tcPr/>
          <w:p>
            <w:pPr>
              <w:pStyle w:val="Compact"/>
              <w:jc w:val="left"/>
            </w:pPr>
            <w:r>
              <w:t xml:space="preserve">8.58</w:t>
            </w:r>
          </w:p>
        </w:tc>
      </w:tr>
      <w:tr>
        <w:tc>
          <w:tcPr/>
          <w:p>
            <w:pPr>
              <w:pStyle w:val="Compact"/>
              <w:jc w:val="center"/>
            </w:pPr>
            <w:r>
              <w:rPr>
                <w:b/>
                <w:bCs/>
              </w:rPr>
              <w:t xml:space="preserve">3</w:t>
            </w:r>
          </w:p>
        </w:tc>
        <w:tc>
          <w:tcPr/>
          <w:p>
            <w:pPr>
              <w:pStyle w:val="Compact"/>
              <w:jc w:val="left"/>
            </w:pPr>
            <w:r>
              <w:t xml:space="preserve">1983</w:t>
            </w:r>
          </w:p>
        </w:tc>
        <w:tc>
          <w:tcPr/>
          <w:p>
            <w:pPr>
              <w:pStyle w:val="Compact"/>
              <w:jc w:val="left"/>
            </w:pPr>
            <w:r>
              <w:t xml:space="preserve">11.27</w:t>
            </w:r>
          </w:p>
        </w:tc>
      </w:tr>
      <w:tr>
        <w:tc>
          <w:tcPr/>
          <w:p>
            <w:pPr>
              <w:pStyle w:val="Compact"/>
              <w:jc w:val="center"/>
            </w:pPr>
            <w:r>
              <w:rPr>
                <w:b/>
                <w:bCs/>
              </w:rPr>
              <w:t xml:space="preserve">4</w:t>
            </w:r>
          </w:p>
        </w:tc>
        <w:tc>
          <w:tcPr/>
          <w:p>
            <w:pPr>
              <w:pStyle w:val="Compact"/>
              <w:jc w:val="left"/>
            </w:pPr>
            <w:r>
              <w:t xml:space="preserve">1984</w:t>
            </w:r>
          </w:p>
        </w:tc>
        <w:tc>
          <w:tcPr/>
          <w:p>
            <w:pPr>
              <w:pStyle w:val="Compact"/>
              <w:jc w:val="left"/>
            </w:pPr>
            <w:r>
              <w:t xml:space="preserve">11.68</w:t>
            </w:r>
          </w:p>
        </w:tc>
      </w:tr>
      <w:tr>
        <w:tc>
          <w:tcPr/>
          <w:p>
            <w:pPr>
              <w:pStyle w:val="Compact"/>
              <w:jc w:val="center"/>
            </w:pPr>
            <w:r>
              <w:rPr>
                <w:b/>
                <w:bCs/>
              </w:rPr>
              <w:t xml:space="preserve">5</w:t>
            </w:r>
          </w:p>
        </w:tc>
        <w:tc>
          <w:tcPr/>
          <w:p>
            <w:pPr>
              <w:pStyle w:val="Compact"/>
              <w:jc w:val="left"/>
            </w:pPr>
            <w:r>
              <w:t xml:space="preserve">1985</w:t>
            </w:r>
          </w:p>
        </w:tc>
        <w:tc>
          <w:tcPr/>
          <w:p>
            <w:pPr>
              <w:pStyle w:val="Compact"/>
              <w:jc w:val="left"/>
            </w:pPr>
            <w:r>
              <w:t xml:space="preserve">17.36</w:t>
            </w:r>
          </w:p>
        </w:tc>
      </w:tr>
      <w:tr>
        <w:tc>
          <w:tcPr/>
          <w:p>
            <w:pPr>
              <w:pStyle w:val="Compact"/>
              <w:jc w:val="center"/>
            </w:pPr>
            <w:r>
              <w:rPr>
                <w:b/>
                <w:bCs/>
              </w:rPr>
              <w:t xml:space="preserve">6</w:t>
            </w:r>
          </w:p>
        </w:tc>
        <w:tc>
          <w:tcPr/>
          <w:p>
            <w:pPr>
              <w:pStyle w:val="Compact"/>
              <w:jc w:val="left"/>
            </w:pPr>
            <w:r>
              <w:t xml:space="preserve">1986</w:t>
            </w:r>
          </w:p>
        </w:tc>
        <w:tc>
          <w:tcPr/>
          <w:p>
            <w:pPr>
              <w:pStyle w:val="Compact"/>
              <w:jc w:val="left"/>
            </w:pPr>
            <w:r>
              <w:t xml:space="preserve">31.33</w:t>
            </w:r>
          </w:p>
        </w:tc>
      </w:tr>
      <w:tr>
        <w:tc>
          <w:tcPr/>
          <w:p>
            <w:pPr>
              <w:pStyle w:val="Compact"/>
              <w:jc w:val="center"/>
            </w:pPr>
            <w:r>
              <w:rPr>
                <w:b/>
                <w:bCs/>
              </w:rPr>
              <w:t xml:space="preserve">7</w:t>
            </w:r>
          </w:p>
        </w:tc>
        <w:tc>
          <w:tcPr/>
          <w:p>
            <w:pPr>
              <w:pStyle w:val="Compact"/>
              <w:jc w:val="left"/>
            </w:pPr>
            <w:r>
              <w:t xml:space="preserve">1987</w:t>
            </w:r>
          </w:p>
        </w:tc>
        <w:tc>
          <w:tcPr/>
          <w:p>
            <w:pPr>
              <w:pStyle w:val="Compact"/>
              <w:jc w:val="left"/>
            </w:pPr>
            <w:r>
              <w:t xml:space="preserve">28.71</w:t>
            </w:r>
          </w:p>
        </w:tc>
      </w:tr>
      <w:tr>
        <w:tc>
          <w:tcPr/>
          <w:p>
            <w:pPr>
              <w:pStyle w:val="Compact"/>
              <w:jc w:val="center"/>
            </w:pPr>
            <w:r>
              <w:rPr>
                <w:b/>
                <w:bCs/>
              </w:rPr>
              <w:t xml:space="preserve">8</w:t>
            </w:r>
          </w:p>
        </w:tc>
        <w:tc>
          <w:tcPr/>
          <w:p>
            <w:pPr>
              <w:pStyle w:val="Compact"/>
              <w:jc w:val="left"/>
            </w:pPr>
            <w:r>
              <w:t xml:space="preserve">1988</w:t>
            </w:r>
          </w:p>
        </w:tc>
        <w:tc>
          <w:tcPr/>
          <w:p>
            <w:pPr>
              <w:pStyle w:val="Compact"/>
              <w:jc w:val="left"/>
            </w:pPr>
            <w:r>
              <w:t xml:space="preserve">22.73</w:t>
            </w:r>
          </w:p>
        </w:tc>
      </w:tr>
      <w:tr>
        <w:tc>
          <w:tcPr/>
          <w:p>
            <w:pPr>
              <w:pStyle w:val="Compact"/>
              <w:jc w:val="center"/>
            </w:pPr>
            <w:r>
              <w:rPr>
                <w:b/>
                <w:bCs/>
              </w:rPr>
              <w:t xml:space="preserve">9</w:t>
            </w:r>
          </w:p>
        </w:tc>
        <w:tc>
          <w:tcPr/>
          <w:p>
            <w:pPr>
              <w:pStyle w:val="Compact"/>
              <w:jc w:val="left"/>
            </w:pPr>
            <w:r>
              <w:t xml:space="preserve">1989</w:t>
            </w:r>
          </w:p>
        </w:tc>
        <w:tc>
          <w:tcPr/>
          <w:p>
            <w:pPr>
              <w:pStyle w:val="Compact"/>
              <w:jc w:val="left"/>
            </w:pPr>
            <w:r>
              <w:t xml:space="preserve">16.89</w:t>
            </w:r>
          </w:p>
        </w:tc>
      </w:tr>
      <w:tr>
        <w:tc>
          <w:tcPr/>
          <w:p>
            <w:pPr>
              <w:pStyle w:val="Compact"/>
              <w:jc w:val="center"/>
            </w:pPr>
            <w:r>
              <w:rPr>
                <w:b/>
                <w:bCs/>
              </w:rPr>
              <w:t xml:space="preserve">10</w:t>
            </w:r>
          </w:p>
        </w:tc>
        <w:tc>
          <w:tcPr/>
          <w:p>
            <w:pPr>
              <w:pStyle w:val="Compact"/>
              <w:jc w:val="left"/>
            </w:pPr>
            <w:r>
              <w:t xml:space="preserve">1990</w:t>
            </w:r>
          </w:p>
        </w:tc>
        <w:tc>
          <w:tcPr/>
          <w:p>
            <w:pPr>
              <w:pStyle w:val="Compact"/>
              <w:jc w:val="left"/>
            </w:pPr>
            <w:r>
              <w:t xml:space="preserve">15.09</w:t>
            </w:r>
          </w:p>
        </w:tc>
      </w:tr>
      <w:tr>
        <w:tc>
          <w:tcPr/>
          <w:p>
            <w:pPr>
              <w:pStyle w:val="Compact"/>
              <w:jc w:val="center"/>
            </w:pPr>
            <w:r>
              <w:rPr>
                <w:b/>
                <w:bCs/>
              </w:rPr>
              <w:t xml:space="preserve">11</w:t>
            </w:r>
          </w:p>
        </w:tc>
        <w:tc>
          <w:tcPr/>
          <w:p>
            <w:pPr>
              <w:pStyle w:val="Compact"/>
              <w:jc w:val="left"/>
            </w:pPr>
            <w:r>
              <w:t xml:space="preserve">1991</w:t>
            </w:r>
          </w:p>
        </w:tc>
        <w:tc>
          <w:tcPr/>
          <w:p>
            <w:pPr>
              <w:pStyle w:val="Compact"/>
              <w:jc w:val="left"/>
            </w:pPr>
            <w:r>
              <w:t xml:space="preserve">15.34</w:t>
            </w:r>
          </w:p>
        </w:tc>
      </w:tr>
      <w:tr>
        <w:tc>
          <w:tcPr/>
          <w:p>
            <w:pPr>
              <w:pStyle w:val="Compact"/>
              <w:jc w:val="center"/>
            </w:pPr>
            <w:r>
              <w:rPr>
                <w:b/>
                <w:bCs/>
              </w:rPr>
              <w:t xml:space="preserve">12</w:t>
            </w:r>
          </w:p>
        </w:tc>
        <w:tc>
          <w:tcPr/>
          <w:p>
            <w:pPr>
              <w:pStyle w:val="Compact"/>
              <w:jc w:val="left"/>
            </w:pPr>
            <w:r>
              <w:t xml:space="preserve">1992</w:t>
            </w:r>
          </w:p>
        </w:tc>
        <w:tc>
          <w:tcPr/>
          <w:p>
            <w:pPr>
              <w:pStyle w:val="Compact"/>
              <w:jc w:val="left"/>
            </w:pPr>
            <w:r>
              <w:t xml:space="preserve">17.27</w:t>
            </w:r>
          </w:p>
        </w:tc>
      </w:tr>
      <w:tr>
        <w:tc>
          <w:tcPr/>
          <w:p>
            <w:pPr>
              <w:pStyle w:val="Compact"/>
              <w:jc w:val="center"/>
            </w:pPr>
            <w:r>
              <w:rPr>
                <w:b/>
                <w:bCs/>
              </w:rPr>
              <w:t xml:space="preserve">13</w:t>
            </w:r>
          </w:p>
        </w:tc>
        <w:tc>
          <w:tcPr/>
          <w:p>
            <w:pPr>
              <w:pStyle w:val="Compact"/>
              <w:jc w:val="left"/>
            </w:pPr>
            <w:r>
              <w:t xml:space="preserve">1993</w:t>
            </w:r>
          </w:p>
        </w:tc>
        <w:tc>
          <w:tcPr/>
          <w:p>
            <w:pPr>
              <w:pStyle w:val="Compact"/>
              <w:jc w:val="left"/>
            </w:pPr>
            <w:r>
              <w:t xml:space="preserve">14.31</w:t>
            </w:r>
          </w:p>
        </w:tc>
      </w:tr>
      <w:tr>
        <w:tc>
          <w:tcPr/>
          <w:p>
            <w:pPr>
              <w:pStyle w:val="Compact"/>
              <w:jc w:val="center"/>
            </w:pPr>
            <w:r>
              <w:rPr>
                <w:b/>
                <w:bCs/>
              </w:rPr>
              <w:t xml:space="preserve">14</w:t>
            </w:r>
          </w:p>
        </w:tc>
        <w:tc>
          <w:tcPr/>
          <w:p>
            <w:pPr>
              <w:pStyle w:val="Compact"/>
              <w:jc w:val="left"/>
            </w:pPr>
            <w:r>
              <w:t xml:space="preserve">1994</w:t>
            </w:r>
          </w:p>
        </w:tc>
        <w:tc>
          <w:tcPr/>
          <w:p>
            <w:pPr>
              <w:pStyle w:val="Compact"/>
              <w:jc w:val="left"/>
            </w:pPr>
            <w:r>
              <w:t xml:space="preserve">13.27</w:t>
            </w:r>
          </w:p>
        </w:tc>
      </w:tr>
      <w:tr>
        <w:tc>
          <w:tcPr/>
          <w:p>
            <w:pPr>
              <w:pStyle w:val="Compact"/>
              <w:jc w:val="center"/>
            </w:pPr>
            <w:r>
              <w:rPr>
                <w:b/>
                <w:bCs/>
              </w:rPr>
              <w:t xml:space="preserve">15</w:t>
            </w:r>
          </w:p>
        </w:tc>
        <w:tc>
          <w:tcPr/>
          <w:p>
            <w:pPr>
              <w:pStyle w:val="Compact"/>
              <w:jc w:val="left"/>
            </w:pPr>
            <w:r>
              <w:t xml:space="preserve">1995</w:t>
            </w:r>
          </w:p>
        </w:tc>
        <w:tc>
          <w:tcPr/>
          <w:p>
            <w:pPr>
              <w:pStyle w:val="Compact"/>
              <w:jc w:val="left"/>
            </w:pPr>
            <w:r>
              <w:t xml:space="preserve">10.8</w:t>
            </w:r>
          </w:p>
        </w:tc>
      </w:tr>
      <w:tr>
        <w:tc>
          <w:tcPr/>
          <w:p>
            <w:pPr>
              <w:pStyle w:val="Compact"/>
              <w:jc w:val="center"/>
            </w:pPr>
            <w:r>
              <w:rPr>
                <w:b/>
                <w:bCs/>
              </w:rPr>
              <w:t xml:space="preserve">16</w:t>
            </w:r>
          </w:p>
        </w:tc>
        <w:tc>
          <w:tcPr/>
          <w:p>
            <w:pPr>
              <w:pStyle w:val="Compact"/>
              <w:jc w:val="left"/>
            </w:pPr>
            <w:r>
              <w:t xml:space="preserve">1996</w:t>
            </w:r>
          </w:p>
        </w:tc>
        <w:tc>
          <w:tcPr/>
          <w:p>
            <w:pPr>
              <w:pStyle w:val="Compact"/>
              <w:jc w:val="left"/>
            </w:pPr>
            <w:r>
              <w:t xml:space="preserve">8.52</w:t>
            </w:r>
          </w:p>
        </w:tc>
      </w:tr>
      <w:tr>
        <w:tc>
          <w:tcPr/>
          <w:p>
            <w:pPr>
              <w:pStyle w:val="Compact"/>
              <w:jc w:val="center"/>
            </w:pPr>
            <w:r>
              <w:rPr>
                <w:b/>
                <w:bCs/>
              </w:rPr>
              <w:t xml:space="preserve">17</w:t>
            </w:r>
          </w:p>
        </w:tc>
        <w:tc>
          <w:tcPr/>
          <w:p>
            <w:pPr>
              <w:pStyle w:val="Compact"/>
              <w:jc w:val="left"/>
            </w:pPr>
            <w:r>
              <w:t xml:space="preserve">1997</w:t>
            </w:r>
          </w:p>
        </w:tc>
        <w:tc>
          <w:tcPr/>
          <w:p>
            <w:pPr>
              <w:pStyle w:val="Compact"/>
              <w:jc w:val="left"/>
            </w:pPr>
            <w:r>
              <w:t xml:space="preserve">9.23</w:t>
            </w:r>
          </w:p>
        </w:tc>
      </w:tr>
      <w:tr>
        <w:tc>
          <w:tcPr/>
          <w:p>
            <w:pPr>
              <w:pStyle w:val="Compact"/>
              <w:jc w:val="center"/>
            </w:pPr>
            <w:r>
              <w:rPr>
                <w:b/>
                <w:bCs/>
              </w:rPr>
              <w:t xml:space="preserve">18</w:t>
            </w:r>
          </w:p>
        </w:tc>
        <w:tc>
          <w:tcPr/>
          <w:p>
            <w:pPr>
              <w:pStyle w:val="Compact"/>
              <w:jc w:val="left"/>
            </w:pPr>
            <w:r>
              <w:t xml:space="preserve">1998</w:t>
            </w:r>
          </w:p>
        </w:tc>
        <w:tc>
          <w:tcPr/>
          <w:p>
            <w:pPr>
              <w:pStyle w:val="Compact"/>
              <w:jc w:val="left"/>
            </w:pPr>
            <w:r>
              <w:t xml:space="preserve">6.9</w:t>
            </w:r>
          </w:p>
        </w:tc>
      </w:tr>
      <w:tr>
        <w:tc>
          <w:tcPr/>
          <w:p>
            <w:pPr>
              <w:pStyle w:val="Compact"/>
              <w:jc w:val="center"/>
            </w:pPr>
            <w:r>
              <w:rPr>
                <w:b/>
                <w:bCs/>
              </w:rPr>
              <w:t xml:space="preserve">19</w:t>
            </w:r>
          </w:p>
        </w:tc>
        <w:tc>
          <w:tcPr/>
          <w:p>
            <w:pPr>
              <w:pStyle w:val="Compact"/>
              <w:jc w:val="left"/>
            </w:pPr>
            <w:r>
              <w:t xml:space="preserve">1999</w:t>
            </w:r>
          </w:p>
        </w:tc>
        <w:tc>
          <w:tcPr/>
          <w:p>
            <w:pPr>
              <w:pStyle w:val="Compact"/>
              <w:jc w:val="left"/>
            </w:pPr>
            <w:r>
              <w:t xml:space="preserve">6.76</w:t>
            </w:r>
          </w:p>
        </w:tc>
      </w:tr>
      <w:tr>
        <w:tc>
          <w:tcPr/>
          <w:p>
            <w:pPr>
              <w:pStyle w:val="Compact"/>
              <w:jc w:val="center"/>
            </w:pPr>
            <w:r>
              <w:rPr>
                <w:b/>
                <w:bCs/>
              </w:rPr>
              <w:t xml:space="preserve">20</w:t>
            </w:r>
          </w:p>
        </w:tc>
        <w:tc>
          <w:tcPr/>
          <w:p>
            <w:pPr>
              <w:pStyle w:val="Compact"/>
              <w:jc w:val="left"/>
            </w:pPr>
            <w:r>
              <w:t xml:space="preserve">2000</w:t>
            </w:r>
          </w:p>
        </w:tc>
        <w:tc>
          <w:tcPr/>
          <w:p>
            <w:pPr>
              <w:pStyle w:val="Compact"/>
              <w:jc w:val="left"/>
            </w:pPr>
            <w:r>
              <w:t xml:space="preserve">6.49</w:t>
            </w:r>
          </w:p>
        </w:tc>
      </w:tr>
      <w:tr>
        <w:tc>
          <w:tcPr/>
          <w:p>
            <w:pPr>
              <w:pStyle w:val="Compact"/>
              <w:jc w:val="center"/>
            </w:pPr>
            <w:r>
              <w:rPr>
                <w:b/>
                <w:bCs/>
              </w:rPr>
              <w:t xml:space="preserve">21</w:t>
            </w:r>
          </w:p>
        </w:tc>
        <w:tc>
          <w:tcPr/>
          <w:p>
            <w:pPr>
              <w:pStyle w:val="Compact"/>
              <w:jc w:val="left"/>
            </w:pPr>
            <w:r>
              <w:t xml:space="preserve">2001</w:t>
            </w:r>
          </w:p>
        </w:tc>
        <w:tc>
          <w:tcPr/>
          <w:p>
            <w:pPr>
              <w:pStyle w:val="Compact"/>
              <w:jc w:val="left"/>
            </w:pPr>
            <w:r>
              <w:t xml:space="preserve">5.14</w:t>
            </w:r>
          </w:p>
        </w:tc>
      </w:tr>
      <w:tr>
        <w:tc>
          <w:tcPr/>
          <w:p>
            <w:pPr>
              <w:pStyle w:val="Compact"/>
              <w:jc w:val="center"/>
            </w:pPr>
            <w:r>
              <w:rPr>
                <w:b/>
                <w:bCs/>
              </w:rPr>
              <w:t xml:space="preserve">22</w:t>
            </w:r>
          </w:p>
        </w:tc>
        <w:tc>
          <w:tcPr/>
          <w:p>
            <w:pPr>
              <w:pStyle w:val="Compact"/>
              <w:jc w:val="left"/>
            </w:pPr>
            <w:r>
              <w:t xml:space="preserve">2002</w:t>
            </w:r>
          </w:p>
        </w:tc>
        <w:tc>
          <w:tcPr/>
          <w:p>
            <w:pPr>
              <w:pStyle w:val="Compact"/>
              <w:jc w:val="left"/>
            </w:pPr>
            <w:r>
              <w:t xml:space="preserve">6.03</w:t>
            </w:r>
          </w:p>
        </w:tc>
      </w:tr>
      <w:tr>
        <w:tc>
          <w:tcPr/>
          <w:p>
            <w:pPr>
              <w:pStyle w:val="Compact"/>
              <w:jc w:val="center"/>
            </w:pPr>
            <w:r>
              <w:rPr>
                <w:b/>
                <w:bCs/>
              </w:rPr>
              <w:t xml:space="preserve">23</w:t>
            </w:r>
          </w:p>
        </w:tc>
        <w:tc>
          <w:tcPr/>
          <w:p>
            <w:pPr>
              <w:pStyle w:val="Compact"/>
              <w:jc w:val="left"/>
            </w:pPr>
            <w:r>
              <w:t xml:space="preserve">2003</w:t>
            </w:r>
          </w:p>
        </w:tc>
        <w:tc>
          <w:tcPr/>
          <w:p>
            <w:pPr>
              <w:pStyle w:val="Compact"/>
              <w:jc w:val="left"/>
            </w:pPr>
            <w:r>
              <w:t xml:space="preserve">17.27</w:t>
            </w:r>
          </w:p>
        </w:tc>
      </w:tr>
      <w:tr>
        <w:tc>
          <w:tcPr/>
          <w:p>
            <w:pPr>
              <w:pStyle w:val="Compact"/>
              <w:jc w:val="center"/>
            </w:pPr>
            <w:r>
              <w:rPr>
                <w:b/>
                <w:bCs/>
              </w:rPr>
              <w:t xml:space="preserve">24</w:t>
            </w:r>
          </w:p>
        </w:tc>
        <w:tc>
          <w:tcPr/>
          <w:p>
            <w:pPr>
              <w:pStyle w:val="Compact"/>
              <w:jc w:val="left"/>
            </w:pPr>
            <w:r>
              <w:t xml:space="preserve">2004</w:t>
            </w:r>
          </w:p>
        </w:tc>
        <w:tc>
          <w:tcPr/>
          <w:p>
            <w:pPr>
              <w:pStyle w:val="Compact"/>
              <w:jc w:val="left"/>
            </w:pPr>
            <w:r>
              <w:t xml:space="preserve">12.68</w:t>
            </w:r>
          </w:p>
        </w:tc>
      </w:tr>
      <w:tr>
        <w:tc>
          <w:tcPr/>
          <w:p>
            <w:pPr>
              <w:pStyle w:val="Compact"/>
              <w:jc w:val="center"/>
            </w:pPr>
            <w:r>
              <w:rPr>
                <w:b/>
                <w:bCs/>
              </w:rPr>
              <w:t xml:space="preserve">25</w:t>
            </w:r>
          </w:p>
        </w:tc>
        <w:tc>
          <w:tcPr/>
          <w:p>
            <w:pPr>
              <w:pStyle w:val="Compact"/>
              <w:jc w:val="left"/>
            </w:pPr>
            <w:r>
              <w:t xml:space="preserve">2005</w:t>
            </w:r>
          </w:p>
        </w:tc>
        <w:tc>
          <w:tcPr/>
          <w:p>
            <w:pPr>
              <w:pStyle w:val="Compact"/>
              <w:jc w:val="left"/>
            </w:pPr>
            <w:r>
              <w:t xml:space="preserve">11.28</w:t>
            </w:r>
          </w:p>
        </w:tc>
      </w:tr>
      <w:tr>
        <w:tc>
          <w:tcPr/>
          <w:p>
            <w:pPr>
              <w:pStyle w:val="Compact"/>
              <w:jc w:val="center"/>
            </w:pPr>
            <w:r>
              <w:rPr>
                <w:b/>
                <w:bCs/>
              </w:rPr>
              <w:t xml:space="preserve">26</w:t>
            </w:r>
          </w:p>
        </w:tc>
        <w:tc>
          <w:tcPr/>
          <w:p>
            <w:pPr>
              <w:pStyle w:val="Compact"/>
              <w:jc w:val="left"/>
            </w:pPr>
            <w:r>
              <w:t xml:space="preserve">2006</w:t>
            </w:r>
          </w:p>
        </w:tc>
        <w:tc>
          <w:tcPr/>
          <w:p>
            <w:pPr>
              <w:pStyle w:val="Compact"/>
              <w:jc w:val="left"/>
            </w:pPr>
            <w:r>
              <w:t xml:space="preserve">9.35</w:t>
            </w:r>
          </w:p>
        </w:tc>
      </w:tr>
      <w:tr>
        <w:tc>
          <w:tcPr/>
          <w:p>
            <w:pPr>
              <w:pStyle w:val="Compact"/>
              <w:jc w:val="center"/>
            </w:pPr>
            <w:r>
              <w:rPr>
                <w:b/>
                <w:bCs/>
              </w:rPr>
              <w:t xml:space="preserve">27</w:t>
            </w:r>
          </w:p>
        </w:tc>
        <w:tc>
          <w:tcPr/>
          <w:p>
            <w:pPr>
              <w:pStyle w:val="Compact"/>
              <w:jc w:val="left"/>
            </w:pPr>
            <w:r>
              <w:t xml:space="preserve">2007</w:t>
            </w:r>
          </w:p>
        </w:tc>
        <w:tc>
          <w:tcPr/>
          <w:p>
            <w:pPr>
              <w:pStyle w:val="Compact"/>
              <w:jc w:val="left"/>
            </w:pPr>
            <w:r>
              <w:t xml:space="preserve">7.28</w:t>
            </w:r>
          </w:p>
        </w:tc>
      </w:tr>
      <w:tr>
        <w:tc>
          <w:tcPr/>
          <w:p>
            <w:pPr>
              <w:pStyle w:val="Compact"/>
              <w:jc w:val="center"/>
            </w:pPr>
            <w:r>
              <w:rPr>
                <w:b/>
                <w:bCs/>
              </w:rPr>
              <w:t xml:space="preserve">28</w:t>
            </w:r>
          </w:p>
        </w:tc>
        <w:tc>
          <w:tcPr/>
          <w:p>
            <w:pPr>
              <w:pStyle w:val="Compact"/>
              <w:jc w:val="left"/>
            </w:pPr>
            <w:r>
              <w:t xml:space="preserve">2008</w:t>
            </w:r>
          </w:p>
        </w:tc>
        <w:tc>
          <w:tcPr/>
          <w:p>
            <w:pPr>
              <w:pStyle w:val="Compact"/>
              <w:jc w:val="left"/>
            </w:pPr>
            <w:r>
              <w:t xml:space="preserve">6.99</w:t>
            </w:r>
          </w:p>
        </w:tc>
      </w:tr>
      <w:tr>
        <w:tc>
          <w:tcPr/>
          <w:p>
            <w:pPr>
              <w:pStyle w:val="Compact"/>
              <w:jc w:val="center"/>
            </w:pPr>
            <w:r>
              <w:rPr>
                <w:b/>
                <w:bCs/>
              </w:rPr>
              <w:t xml:space="preserve">29</w:t>
            </w:r>
          </w:p>
        </w:tc>
        <w:tc>
          <w:tcPr/>
          <w:p>
            <w:pPr>
              <w:pStyle w:val="Compact"/>
              <w:jc w:val="left"/>
            </w:pPr>
            <w:r>
              <w:t xml:space="preserve">2009</w:t>
            </w:r>
          </w:p>
        </w:tc>
        <w:tc>
          <w:tcPr/>
          <w:p>
            <w:pPr>
              <w:pStyle w:val="Compact"/>
              <w:jc w:val="left"/>
            </w:pPr>
            <w:r>
              <w:t xml:space="preserve">17.91</w:t>
            </w:r>
          </w:p>
        </w:tc>
      </w:tr>
      <w:tr>
        <w:tc>
          <w:tcPr/>
          <w:p>
            <w:pPr>
              <w:pStyle w:val="Compact"/>
              <w:jc w:val="center"/>
            </w:pPr>
            <w:r>
              <w:rPr>
                <w:b/>
                <w:bCs/>
              </w:rPr>
              <w:t xml:space="preserve">30</w:t>
            </w:r>
          </w:p>
        </w:tc>
        <w:tc>
          <w:tcPr/>
          <w:p>
            <w:pPr>
              <w:pStyle w:val="Compact"/>
              <w:jc w:val="left"/>
            </w:pPr>
            <w:r>
              <w:t xml:space="preserve">2010</w:t>
            </w:r>
          </w:p>
        </w:tc>
        <w:tc>
          <w:tcPr/>
          <w:p>
            <w:pPr>
              <w:pStyle w:val="Compact"/>
              <w:jc w:val="left"/>
            </w:pPr>
            <w:r>
              <w:t xml:space="preserve">11.99</w:t>
            </w:r>
          </w:p>
        </w:tc>
      </w:tr>
      <w:tr>
        <w:tc>
          <w:tcPr/>
          <w:p>
            <w:pPr>
              <w:pStyle w:val="Compact"/>
              <w:jc w:val="center"/>
            </w:pPr>
            <w:r>
              <w:rPr>
                <w:b/>
                <w:bCs/>
              </w:rPr>
              <w:t xml:space="preserve">31</w:t>
            </w:r>
          </w:p>
        </w:tc>
        <w:tc>
          <w:tcPr/>
          <w:p>
            <w:pPr>
              <w:pStyle w:val="Compact"/>
              <w:jc w:val="left"/>
            </w:pPr>
            <w:r>
              <w:t xml:space="preserve">2011</w:t>
            </w:r>
          </w:p>
        </w:tc>
        <w:tc>
          <w:tcPr/>
          <w:p>
            <w:pPr>
              <w:pStyle w:val="Compact"/>
              <w:jc w:val="left"/>
            </w:pPr>
            <w:r>
              <w:t xml:space="preserve">9.33</w:t>
            </w:r>
          </w:p>
        </w:tc>
      </w:tr>
      <w:tr>
        <w:tc>
          <w:tcPr/>
          <w:p>
            <w:pPr>
              <w:pStyle w:val="Compact"/>
              <w:jc w:val="center"/>
            </w:pPr>
            <w:r>
              <w:rPr>
                <w:b/>
                <w:bCs/>
              </w:rPr>
              <w:t xml:space="preserve">32</w:t>
            </w:r>
          </w:p>
        </w:tc>
        <w:tc>
          <w:tcPr/>
          <w:p>
            <w:pPr>
              <w:pStyle w:val="Compact"/>
              <w:jc w:val="left"/>
            </w:pPr>
            <w:r>
              <w:t xml:space="preserve">2012</w:t>
            </w:r>
          </w:p>
        </w:tc>
        <w:tc>
          <w:tcPr/>
          <w:p>
            <w:pPr>
              <w:pStyle w:val="Compact"/>
              <w:jc w:val="left"/>
            </w:pPr>
            <w:r>
              <w:t xml:space="preserve">7.88</w:t>
            </w:r>
          </w:p>
        </w:tc>
      </w:tr>
      <w:tr>
        <w:tc>
          <w:tcPr/>
          <w:p>
            <w:pPr>
              <w:pStyle w:val="Compact"/>
              <w:jc w:val="center"/>
            </w:pPr>
            <w:r>
              <w:rPr>
                <w:b/>
                <w:bCs/>
              </w:rPr>
              <w:t xml:space="preserve">33</w:t>
            </w:r>
          </w:p>
        </w:tc>
        <w:tc>
          <w:tcPr/>
          <w:p>
            <w:pPr>
              <w:pStyle w:val="Compact"/>
              <w:jc w:val="left"/>
            </w:pPr>
            <w:r>
              <w:t xml:space="preserve">2013</w:t>
            </w:r>
          </w:p>
        </w:tc>
        <w:tc>
          <w:tcPr/>
          <w:p>
            <w:pPr>
              <w:pStyle w:val="Compact"/>
              <w:jc w:val="left"/>
            </w:pPr>
            <w:r>
              <w:t xml:space="preserve">8.97</w:t>
            </w:r>
          </w:p>
        </w:tc>
      </w:tr>
      <w:tr>
        <w:tc>
          <w:tcPr/>
          <w:p>
            <w:pPr>
              <w:pStyle w:val="Compact"/>
              <w:jc w:val="center"/>
            </w:pPr>
            <w:r>
              <w:rPr>
                <w:b/>
                <w:bCs/>
              </w:rPr>
              <w:t xml:space="preserve">34</w:t>
            </w:r>
          </w:p>
        </w:tc>
        <w:tc>
          <w:tcPr/>
          <w:p>
            <w:pPr>
              <w:pStyle w:val="Compact"/>
              <w:jc w:val="left"/>
            </w:pPr>
            <w:r>
              <w:t xml:space="preserve">2014</w:t>
            </w:r>
          </w:p>
        </w:tc>
        <w:tc>
          <w:tcPr/>
          <w:p>
            <w:pPr>
              <w:pStyle w:val="Compact"/>
              <w:jc w:val="left"/>
            </w:pPr>
            <w:r>
              <w:t xml:space="preserve">8.04</w:t>
            </w:r>
          </w:p>
        </w:tc>
      </w:tr>
      <w:tr>
        <w:tc>
          <w:tcPr/>
          <w:p>
            <w:pPr>
              <w:pStyle w:val="Compact"/>
              <w:jc w:val="center"/>
            </w:pPr>
            <w:r>
              <w:rPr>
                <w:b/>
                <w:bCs/>
              </w:rPr>
              <w:t xml:space="preserve">35</w:t>
            </w:r>
          </w:p>
        </w:tc>
        <w:tc>
          <w:tcPr/>
          <w:p>
            <w:pPr>
              <w:pStyle w:val="Compact"/>
              <w:jc w:val="left"/>
            </w:pPr>
            <w:r>
              <w:t xml:space="preserve">2015</w:t>
            </w:r>
          </w:p>
        </w:tc>
        <w:tc>
          <w:tcPr/>
          <w:p>
            <w:pPr>
              <w:pStyle w:val="Compact"/>
              <w:jc w:val="left"/>
            </w:pPr>
            <w:r>
              <w:t xml:space="preserve">18.9</w:t>
            </w:r>
          </w:p>
        </w:tc>
      </w:tr>
      <w:tr>
        <w:tc>
          <w:tcPr/>
          <w:p>
            <w:pPr>
              <w:pStyle w:val="Compact"/>
              <w:jc w:val="center"/>
            </w:pPr>
            <w:r>
              <w:rPr>
                <w:b/>
                <w:bCs/>
              </w:rPr>
              <w:t xml:space="preserve">36</w:t>
            </w:r>
          </w:p>
        </w:tc>
        <w:tc>
          <w:tcPr/>
          <w:p>
            <w:pPr>
              <w:pStyle w:val="Compact"/>
              <w:jc w:val="left"/>
            </w:pPr>
            <w:r>
              <w:t xml:space="preserve">2016</w:t>
            </w:r>
          </w:p>
        </w:tc>
        <w:tc>
          <w:tcPr/>
          <w:p>
            <w:pPr>
              <w:pStyle w:val="Compact"/>
              <w:jc w:val="left"/>
            </w:pPr>
            <w:r>
              <w:t xml:space="preserve">26.78</w:t>
            </w:r>
          </w:p>
        </w:tc>
      </w:tr>
      <w:tr>
        <w:tc>
          <w:tcPr/>
          <w:p>
            <w:pPr>
              <w:pStyle w:val="Compact"/>
              <w:jc w:val="center"/>
            </w:pPr>
            <w:r>
              <w:rPr>
                <w:b/>
                <w:bCs/>
              </w:rPr>
              <w:t xml:space="preserve">37</w:t>
            </w:r>
          </w:p>
        </w:tc>
        <w:tc>
          <w:tcPr/>
          <w:p>
            <w:pPr>
              <w:pStyle w:val="Compact"/>
              <w:jc w:val="left"/>
            </w:pPr>
            <w:r>
              <w:t xml:space="preserve">2017</w:t>
            </w:r>
          </w:p>
        </w:tc>
        <w:tc>
          <w:tcPr/>
          <w:p>
            <w:pPr>
              <w:pStyle w:val="Compact"/>
              <w:jc w:val="left"/>
            </w:pPr>
            <w:r>
              <w:t xml:space="preserve">31.8</w:t>
            </w:r>
          </w:p>
        </w:tc>
      </w:tr>
      <w:tr>
        <w:tc>
          <w:tcPr/>
          <w:p>
            <w:pPr>
              <w:pStyle w:val="Compact"/>
              <w:jc w:val="center"/>
            </w:pPr>
            <w:r>
              <w:rPr>
                <w:b/>
                <w:bCs/>
              </w:rPr>
              <w:t xml:space="preserve">38</w:t>
            </w:r>
          </w:p>
        </w:tc>
        <w:tc>
          <w:tcPr/>
          <w:p>
            <w:pPr>
              <w:pStyle w:val="Compact"/>
              <w:jc w:val="left"/>
            </w:pPr>
            <w:r>
              <w:t xml:space="preserve">2018</w:t>
            </w:r>
          </w:p>
        </w:tc>
        <w:tc>
          <w:tcPr/>
          <w:p>
            <w:pPr>
              <w:pStyle w:val="Compact"/>
              <w:jc w:val="left"/>
            </w:pPr>
            <w:r>
              <w:t xml:space="preserve">21.7</w:t>
            </w:r>
          </w:p>
        </w:tc>
      </w:tr>
      <w:tr>
        <w:tc>
          <w:tcPr/>
          <w:p>
            <w:pPr>
              <w:pStyle w:val="Compact"/>
              <w:jc w:val="center"/>
            </w:pPr>
            <w:r>
              <w:rPr>
                <w:b/>
                <w:bCs/>
              </w:rPr>
              <w:t xml:space="preserve">39</w:t>
            </w:r>
          </w:p>
        </w:tc>
        <w:tc>
          <w:tcPr/>
          <w:p>
            <w:pPr>
              <w:pStyle w:val="Compact"/>
              <w:jc w:val="left"/>
            </w:pPr>
            <w:r>
              <w:t xml:space="preserve">2019</w:t>
            </w:r>
          </w:p>
        </w:tc>
        <w:tc>
          <w:tcPr/>
          <w:p>
            <w:pPr>
              <w:pStyle w:val="Compact"/>
              <w:jc w:val="left"/>
            </w:pPr>
            <w:r>
              <w:t xml:space="preserve">12.32</w:t>
            </w:r>
          </w:p>
        </w:tc>
      </w:tr>
      <w:tr>
        <w:tc>
          <w:tcPr/>
          <w:p>
            <w:pPr>
              <w:pStyle w:val="Compact"/>
              <w:jc w:val="center"/>
            </w:pPr>
            <w:r>
              <w:rPr>
                <w:b/>
                <w:bCs/>
              </w:rPr>
              <w:t xml:space="preserve">40</w:t>
            </w:r>
          </w:p>
        </w:tc>
        <w:tc>
          <w:tcPr/>
          <w:p>
            <w:pPr>
              <w:pStyle w:val="Compact"/>
              <w:jc w:val="left"/>
            </w:pPr>
            <w:r>
              <w:t xml:space="preserve">2020</w:t>
            </w:r>
          </w:p>
        </w:tc>
        <w:tc>
          <w:tcPr/>
          <w:p>
            <w:pPr>
              <w:pStyle w:val="Compact"/>
              <w:jc w:val="left"/>
            </w:pPr>
            <w:r>
              <w:t xml:space="preserve">4.87</w:t>
            </w:r>
          </w:p>
        </w:tc>
      </w:tr>
      <w:tr>
        <w:tc>
          <w:tcPr/>
          <w:p>
            <w:pPr>
              <w:pStyle w:val="Compact"/>
              <w:jc w:val="center"/>
            </w:pPr>
            <w:r>
              <w:rPr>
                <w:b/>
                <w:bCs/>
              </w:rPr>
              <w:t xml:space="preserve">41</w:t>
            </w:r>
          </w:p>
        </w:tc>
        <w:tc>
          <w:tcPr/>
          <w:p>
            <w:pPr>
              <w:pStyle w:val="Compact"/>
              <w:jc w:val="left"/>
            </w:pPr>
            <w:r>
              <w:t xml:space="preserve">2021</w:t>
            </w:r>
          </w:p>
        </w:tc>
        <w:tc>
          <w:tcPr/>
          <w:p>
            <w:pPr>
              <w:pStyle w:val="Compact"/>
              <w:jc w:val="left"/>
            </w:pPr>
            <w:r>
              <w:t xml:space="preserve">6.53</w:t>
            </w:r>
          </w:p>
        </w:tc>
      </w:tr>
      <w:tr>
        <w:tc>
          <w:tcPr/>
          <w:p>
            <w:pPr>
              <w:pStyle w:val="Compact"/>
              <w:jc w:val="center"/>
            </w:pPr>
            <w:r>
              <w:rPr>
                <w:b/>
                <w:bCs/>
              </w:rPr>
              <w:t xml:space="preserve">42</w:t>
            </w:r>
          </w:p>
        </w:tc>
        <w:tc>
          <w:tcPr/>
          <w:p>
            <w:pPr>
              <w:pStyle w:val="Compact"/>
              <w:jc w:val="left"/>
            </w:pPr>
            <w:r>
              <w:t xml:space="preserve">2022</w:t>
            </w:r>
          </w:p>
        </w:tc>
        <w:tc>
          <w:tcPr/>
          <w:p>
            <w:pPr>
              <w:pStyle w:val="Compact"/>
              <w:jc w:val="left"/>
            </w:pPr>
            <w:r>
              <w:t xml:space="preserve">8.71</w:t>
            </w:r>
          </w:p>
        </w:tc>
      </w:tr>
      <w:tr>
        <w:tc>
          <w:tcPr/>
          <w:p>
            <w:pPr>
              <w:pStyle w:val="Compact"/>
              <w:jc w:val="center"/>
            </w:pPr>
            <w:r>
              <w:rPr>
                <w:b/>
                <w:bCs/>
              </w:rPr>
              <w:t xml:space="preserve">43</w:t>
            </w:r>
          </w:p>
        </w:tc>
        <w:tc>
          <w:tcPr/>
          <w:p>
            <w:pPr>
              <w:pStyle w:val="Compact"/>
              <w:jc w:val="left"/>
            </w:pPr>
            <w:r>
              <w:t xml:space="preserve">2023</w:t>
            </w:r>
          </w:p>
        </w:tc>
        <w:tc>
          <w:tcPr/>
          <w:p>
            <w:pPr>
              <w:pStyle w:val="Compact"/>
              <w:jc w:val="left"/>
            </w:pPr>
            <w:r>
              <w:t xml:space="preserve">15.87</w:t>
            </w:r>
          </w:p>
        </w:tc>
      </w:tr>
      <w:tr>
        <w:tc>
          <w:tcPr/>
          <w:p>
            <w:pPr>
              <w:pStyle w:val="Compact"/>
              <w:jc w:val="center"/>
            </w:pPr>
            <w:r>
              <w:rPr>
                <w:b/>
                <w:bCs/>
              </w:rPr>
              <w:t xml:space="preserve">44</w:t>
            </w:r>
          </w:p>
        </w:tc>
        <w:tc>
          <w:tcPr/>
          <w:p>
            <w:pPr>
              <w:pStyle w:val="Compact"/>
              <w:jc w:val="left"/>
            </w:pPr>
            <w:r>
              <w:t xml:space="preserve">2024</w:t>
            </w:r>
          </w:p>
        </w:tc>
        <w:tc>
          <w:tcPr/>
          <w:p>
            <w:pPr>
              <w:pStyle w:val="Compact"/>
              <w:jc w:val="left"/>
            </w:pPr>
            <w:r>
              <w:t xml:space="preserve">15.27</w:t>
            </w:r>
          </w:p>
        </w:tc>
      </w:tr>
      <w:tr>
        <w:tc>
          <w:tcPr/>
          <w:p>
            <w:pPr>
              <w:pStyle w:val="Compact"/>
              <w:jc w:val="center"/>
            </w:pPr>
            <w:r>
              <w:rPr>
                <w:b/>
                <w:bCs/>
              </w:rPr>
              <w:t xml:space="preserve">45</w:t>
            </w:r>
          </w:p>
        </w:tc>
        <w:tc>
          <w:tcPr/>
          <w:p>
            <w:pPr>
              <w:pStyle w:val="Compact"/>
              <w:jc w:val="left"/>
            </w:pPr>
            <w:r>
              <w:t xml:space="preserve">2025</w:t>
            </w:r>
          </w:p>
        </w:tc>
        <w:tc>
          <w:tcPr/>
          <w:p>
            <w:pPr>
              <w:pStyle w:val="Compact"/>
              <w:jc w:val="left"/>
            </w:pPr>
            <w:r>
              <w:t xml:space="preserve">12.7</w:t>
            </w:r>
          </w:p>
        </w:tc>
      </w:tr>
    </w:tbl>
    <w:p>
      <w:r>
        <w:br w:type="page"/>
      </w:r>
    </w:p>
    <w:p>
      <w:pPr>
        <w:pStyle w:val="TableCaption"/>
      </w:pPr>
      <w:r>
        <w:t xml:space="preserve"> </w:t>
      </w:r>
      <w:r>
        <w:t xml:space="preserve">Comparison of mature male biomass (MMB) at mating, male recruitment (billions), and fully-selected fishing mortality (</w:t>
      </w:r>
      <m:oMath>
        <m:r>
          <m:t>F</m:t>
        </m:r>
      </m:oMath>
      <w:r>
        <w:t xml:space="preserve">) across selected models.</w:t>
      </w:r>
    </w:p>
    <w:tbl>
      <w:tblPr>
        <w:tblStyle w:val="Table"/>
        <w:tblW w:type="pct" w:w="3819"/>
        <w:tblLayout w:type="fixed"/>
        <w:tblLook w:firstRow="1" w:lastRow="0" w:firstColumn="0" w:lastColumn="0" w:noHBand="0" w:noVBand="0" w:val="0020"/>
        <w:tblCaption w:val=" Comparison of mature male biomass (MMB) at mating, male recruitment (billions), and fully-selected fishing mortality (F) across selected models."/>
      </w:tblPr>
      <w:tblGrid>
        <w:gridCol w:w="1430"/>
        <w:gridCol w:w="990"/>
        <w:gridCol w:w="1100"/>
        <w:gridCol w:w="1210"/>
        <w:gridCol w:w="1320"/>
      </w:tblGrid>
      <w:tr>
        <w:trPr>
          <w:tblHeader w:val="on"/>
        </w:trPr>
        <w:tc>
          <w:tcPr/>
          <w:p>
            <w:pPr>
              <w:pStyle w:val="Compact"/>
              <w:jc w:val="left"/>
            </w:pPr>
            <w:r>
              <w:t xml:space="preserve">Model</w:t>
            </w:r>
          </w:p>
        </w:tc>
        <w:tc>
          <w:tcPr/>
          <w:p>
            <w:pPr>
              <w:pStyle w:val="Compact"/>
              <w:jc w:val="left"/>
            </w:pPr>
            <w:r>
              <w:t xml:space="preserve">Survey</w:t>
            </w:r>
            <w:r>
              <w:t xml:space="preserve"> </w:t>
            </w:r>
            <w:r>
              <w:t xml:space="preserve">Year</w:t>
            </w:r>
          </w:p>
        </w:tc>
        <w:tc>
          <w:tcPr/>
          <w:p>
            <w:pPr>
              <w:pStyle w:val="Compact"/>
              <w:jc w:val="left"/>
            </w:pPr>
            <w:r>
              <w:t xml:space="preserve">Mature</w:t>
            </w:r>
            <w:r>
              <w:t xml:space="preserve"> </w:t>
            </w:r>
            <w:r>
              <w:t xml:space="preserve">Male</w:t>
            </w:r>
            <w:r>
              <w:t xml:space="preserve"> </w:t>
            </w:r>
            <w:r>
              <w:t xml:space="preserve">Biomass</w:t>
            </w:r>
          </w:p>
        </w:tc>
        <w:tc>
          <w:tcPr/>
          <w:p>
            <w:pPr>
              <w:pStyle w:val="Compact"/>
              <w:jc w:val="left"/>
            </w:pPr>
            <w:r>
              <w:t xml:space="preserve">Male</w:t>
            </w:r>
            <w:r>
              <w:t xml:space="preserve"> </w:t>
            </w:r>
            <w:r>
              <w:t xml:space="preserve">Recruits</w:t>
            </w:r>
          </w:p>
        </w:tc>
        <w:tc>
          <w:tcPr/>
          <w:p>
            <w:pPr>
              <w:pStyle w:val="Compact"/>
              <w:jc w:val="left"/>
            </w:pPr>
            <w:r>
              <w:t xml:space="preserve">Fishing</w:t>
            </w:r>
            <w:r>
              <w:t xml:space="preserve"> </w:t>
            </w:r>
            <w:r>
              <w:t xml:space="preserve">Mortality</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1982</w:t>
            </w:r>
          </w:p>
        </w:tc>
        <w:tc>
          <w:tcPr/>
          <w:p>
            <w:pPr>
              <w:pStyle w:val="Compact"/>
              <w:jc w:val="left"/>
            </w:pPr>
            <w:r>
              <w:t xml:space="preserve">213.1</w:t>
            </w:r>
          </w:p>
        </w:tc>
        <w:tc>
          <w:tcPr/>
          <w:p>
            <w:pPr>
              <w:pStyle w:val="Compact"/>
              <w:jc w:val="left"/>
            </w:pPr>
            <w:r>
              <w:t xml:space="preserve">2.81</w:t>
            </w:r>
          </w:p>
        </w:tc>
        <w:tc>
          <w:tcPr/>
          <w:p>
            <w:pPr>
              <w:pStyle w:val="Compact"/>
              <w:jc w:val="left"/>
            </w:pPr>
            <w:r>
              <w:t xml:space="preserve">0.24</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1983</w:t>
            </w:r>
          </w:p>
        </w:tc>
        <w:tc>
          <w:tcPr/>
          <w:p>
            <w:pPr>
              <w:pStyle w:val="Compact"/>
              <w:jc w:val="left"/>
            </w:pPr>
            <w:r>
              <w:t xml:space="preserve">307.4</w:t>
            </w:r>
          </w:p>
        </w:tc>
        <w:tc>
          <w:tcPr/>
          <w:p>
            <w:pPr>
              <w:pStyle w:val="Compact"/>
              <w:jc w:val="left"/>
            </w:pPr>
            <w:r>
              <w:t xml:space="preserve">2.61</w:t>
            </w:r>
          </w:p>
        </w:tc>
        <w:tc>
          <w:tcPr/>
          <w:p>
            <w:pPr>
              <w:pStyle w:val="Compact"/>
              <w:jc w:val="left"/>
            </w:pPr>
            <w:r>
              <w:t xml:space="preserve">0.15</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1984</w:t>
            </w:r>
          </w:p>
        </w:tc>
        <w:tc>
          <w:tcPr/>
          <w:p>
            <w:pPr>
              <w:pStyle w:val="Compact"/>
              <w:jc w:val="left"/>
            </w:pPr>
            <w:r>
              <w:t xml:space="preserve">362.5</w:t>
            </w:r>
          </w:p>
        </w:tc>
        <w:tc>
          <w:tcPr/>
          <w:p>
            <w:pPr>
              <w:pStyle w:val="Compact"/>
              <w:jc w:val="left"/>
            </w:pPr>
            <w:r>
              <w:t xml:space="preserve">2.64</w:t>
            </w:r>
          </w:p>
        </w:tc>
        <w:tc>
          <w:tcPr/>
          <w:p>
            <w:pPr>
              <w:pStyle w:val="Compact"/>
              <w:jc w:val="left"/>
            </w:pPr>
            <w:r>
              <w:t xml:space="preserve">0.28</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1985</w:t>
            </w:r>
          </w:p>
        </w:tc>
        <w:tc>
          <w:tcPr/>
          <w:p>
            <w:pPr>
              <w:pStyle w:val="Compact"/>
              <w:jc w:val="left"/>
            </w:pPr>
            <w:r>
              <w:t xml:space="preserve">373.2</w:t>
            </w:r>
          </w:p>
        </w:tc>
        <w:tc>
          <w:tcPr/>
          <w:p>
            <w:pPr>
              <w:pStyle w:val="Compact"/>
              <w:jc w:val="left"/>
            </w:pPr>
            <w:r>
              <w:t xml:space="preserve">4.5</w:t>
            </w:r>
          </w:p>
        </w:tc>
        <w:tc>
          <w:tcPr/>
          <w:p>
            <w:pPr>
              <w:pStyle w:val="Compact"/>
              <w:jc w:val="left"/>
            </w:pPr>
            <w:r>
              <w:t xml:space="preserve">0.4</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1986</w:t>
            </w:r>
          </w:p>
        </w:tc>
        <w:tc>
          <w:tcPr/>
          <w:p>
            <w:pPr>
              <w:pStyle w:val="Compact"/>
              <w:jc w:val="left"/>
            </w:pPr>
            <w:r>
              <w:t xml:space="preserve">378</w:t>
            </w:r>
          </w:p>
        </w:tc>
        <w:tc>
          <w:tcPr/>
          <w:p>
            <w:pPr>
              <w:pStyle w:val="Compact"/>
              <w:jc w:val="left"/>
            </w:pPr>
            <w:r>
              <w:t xml:space="preserve">0.33</w:t>
            </w:r>
          </w:p>
        </w:tc>
        <w:tc>
          <w:tcPr/>
          <w:p>
            <w:pPr>
              <w:pStyle w:val="Compact"/>
              <w:jc w:val="left"/>
            </w:pPr>
            <w:r>
              <w:t xml:space="preserve">0.45</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1987</w:t>
            </w:r>
          </w:p>
        </w:tc>
        <w:tc>
          <w:tcPr/>
          <w:p>
            <w:pPr>
              <w:pStyle w:val="Compact"/>
              <w:jc w:val="left"/>
            </w:pPr>
            <w:r>
              <w:t xml:space="preserve">392.9</w:t>
            </w:r>
          </w:p>
        </w:tc>
        <w:tc>
          <w:tcPr/>
          <w:p>
            <w:pPr>
              <w:pStyle w:val="Compact"/>
              <w:jc w:val="left"/>
            </w:pPr>
            <w:r>
              <w:t xml:space="preserve">2.06</w:t>
            </w:r>
          </w:p>
        </w:tc>
        <w:tc>
          <w:tcPr/>
          <w:p>
            <w:pPr>
              <w:pStyle w:val="Compact"/>
              <w:jc w:val="left"/>
            </w:pPr>
            <w:r>
              <w:t xml:space="preserve">0.63</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1988</w:t>
            </w:r>
          </w:p>
        </w:tc>
        <w:tc>
          <w:tcPr/>
          <w:p>
            <w:pPr>
              <w:pStyle w:val="Compact"/>
              <w:jc w:val="left"/>
            </w:pPr>
            <w:r>
              <w:t xml:space="preserve">424.5</w:t>
            </w:r>
          </w:p>
        </w:tc>
        <w:tc>
          <w:tcPr/>
          <w:p>
            <w:pPr>
              <w:pStyle w:val="Compact"/>
              <w:jc w:val="left"/>
            </w:pPr>
            <w:r>
              <w:t xml:space="preserve">1.16</w:t>
            </w:r>
          </w:p>
        </w:tc>
        <w:tc>
          <w:tcPr/>
          <w:p>
            <w:pPr>
              <w:pStyle w:val="Compact"/>
              <w:jc w:val="left"/>
            </w:pPr>
            <w:r>
              <w:t xml:space="preserve">0.67</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1989</w:t>
            </w:r>
          </w:p>
        </w:tc>
        <w:tc>
          <w:tcPr/>
          <w:p>
            <w:pPr>
              <w:pStyle w:val="Compact"/>
              <w:jc w:val="left"/>
            </w:pPr>
            <w:r>
              <w:t xml:space="preserve">414.1</w:t>
            </w:r>
          </w:p>
        </w:tc>
        <w:tc>
          <w:tcPr/>
          <w:p>
            <w:pPr>
              <w:pStyle w:val="Compact"/>
              <w:jc w:val="left"/>
            </w:pPr>
            <w:r>
              <w:t xml:space="preserve">0.72</w:t>
            </w:r>
          </w:p>
        </w:tc>
        <w:tc>
          <w:tcPr/>
          <w:p>
            <w:pPr>
              <w:pStyle w:val="Compact"/>
              <w:jc w:val="left"/>
            </w:pPr>
            <w:r>
              <w:t xml:space="preserve">0.73</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1990</w:t>
            </w:r>
          </w:p>
        </w:tc>
        <w:tc>
          <w:tcPr/>
          <w:p>
            <w:pPr>
              <w:pStyle w:val="Compact"/>
              <w:jc w:val="left"/>
            </w:pPr>
            <w:r>
              <w:t xml:space="preserve">344.2</w:t>
            </w:r>
          </w:p>
        </w:tc>
        <w:tc>
          <w:tcPr/>
          <w:p>
            <w:pPr>
              <w:pStyle w:val="Compact"/>
              <w:jc w:val="left"/>
            </w:pPr>
            <w:r>
              <w:t xml:space="preserve">2.55</w:t>
            </w:r>
          </w:p>
        </w:tc>
        <w:tc>
          <w:tcPr/>
          <w:p>
            <w:pPr>
              <w:pStyle w:val="Compact"/>
              <w:jc w:val="left"/>
            </w:pPr>
            <w:r>
              <w:t xml:space="preserve">2.42</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1991</w:t>
            </w:r>
          </w:p>
        </w:tc>
        <w:tc>
          <w:tcPr/>
          <w:p>
            <w:pPr>
              <w:pStyle w:val="Compact"/>
              <w:jc w:val="left"/>
            </w:pPr>
            <w:r>
              <w:t xml:space="preserve">319.4</w:t>
            </w:r>
          </w:p>
        </w:tc>
        <w:tc>
          <w:tcPr/>
          <w:p>
            <w:pPr>
              <w:pStyle w:val="Compact"/>
              <w:jc w:val="left"/>
            </w:pPr>
            <w:r>
              <w:t xml:space="preserve">4.05</w:t>
            </w:r>
          </w:p>
        </w:tc>
        <w:tc>
          <w:tcPr/>
          <w:p>
            <w:pPr>
              <w:pStyle w:val="Compact"/>
              <w:jc w:val="left"/>
            </w:pPr>
            <w:r>
              <w:t xml:space="preserve">1.63</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1992</w:t>
            </w:r>
          </w:p>
        </w:tc>
        <w:tc>
          <w:tcPr/>
          <w:p>
            <w:pPr>
              <w:pStyle w:val="Compact"/>
              <w:jc w:val="left"/>
            </w:pPr>
            <w:r>
              <w:t xml:space="preserve">298.6</w:t>
            </w:r>
          </w:p>
        </w:tc>
        <w:tc>
          <w:tcPr/>
          <w:p>
            <w:pPr>
              <w:pStyle w:val="Compact"/>
              <w:jc w:val="left"/>
            </w:pPr>
            <w:r>
              <w:t xml:space="preserve">0.76</w:t>
            </w:r>
          </w:p>
        </w:tc>
        <w:tc>
          <w:tcPr/>
          <w:p>
            <w:pPr>
              <w:pStyle w:val="Compact"/>
              <w:jc w:val="left"/>
            </w:pPr>
            <w:r>
              <w:t xml:space="preserve">2</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1993</w:t>
            </w:r>
          </w:p>
        </w:tc>
        <w:tc>
          <w:tcPr/>
          <w:p>
            <w:pPr>
              <w:pStyle w:val="Compact"/>
              <w:jc w:val="left"/>
            </w:pPr>
            <w:r>
              <w:t xml:space="preserve">286.6</w:t>
            </w:r>
          </w:p>
        </w:tc>
        <w:tc>
          <w:tcPr/>
          <w:p>
            <w:pPr>
              <w:pStyle w:val="Compact"/>
              <w:jc w:val="left"/>
            </w:pPr>
            <w:r>
              <w:t xml:space="preserve">0.21</w:t>
            </w:r>
          </w:p>
        </w:tc>
        <w:tc>
          <w:tcPr/>
          <w:p>
            <w:pPr>
              <w:pStyle w:val="Compact"/>
              <w:jc w:val="left"/>
            </w:pPr>
            <w:r>
              <w:t xml:space="preserve">1.96</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1994</w:t>
            </w:r>
          </w:p>
        </w:tc>
        <w:tc>
          <w:tcPr/>
          <w:p>
            <w:pPr>
              <w:pStyle w:val="Compact"/>
              <w:jc w:val="left"/>
            </w:pPr>
            <w:r>
              <w:t xml:space="preserve">272.4</w:t>
            </w:r>
          </w:p>
        </w:tc>
        <w:tc>
          <w:tcPr/>
          <w:p>
            <w:pPr>
              <w:pStyle w:val="Compact"/>
              <w:jc w:val="left"/>
            </w:pPr>
            <w:r>
              <w:t xml:space="preserve">0.33</w:t>
            </w:r>
          </w:p>
        </w:tc>
        <w:tc>
          <w:tcPr/>
          <w:p>
            <w:pPr>
              <w:pStyle w:val="Compact"/>
              <w:jc w:val="left"/>
            </w:pPr>
            <w:r>
              <w:t xml:space="preserve">1.4</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1995</w:t>
            </w:r>
          </w:p>
        </w:tc>
        <w:tc>
          <w:tcPr/>
          <w:p>
            <w:pPr>
              <w:pStyle w:val="Compact"/>
              <w:jc w:val="left"/>
            </w:pPr>
            <w:r>
              <w:t xml:space="preserve">293.8</w:t>
            </w:r>
          </w:p>
        </w:tc>
        <w:tc>
          <w:tcPr/>
          <w:p>
            <w:pPr>
              <w:pStyle w:val="Compact"/>
              <w:jc w:val="left"/>
            </w:pPr>
            <w:r>
              <w:t xml:space="preserve">0.15</w:t>
            </w:r>
          </w:p>
        </w:tc>
        <w:tc>
          <w:tcPr/>
          <w:p>
            <w:pPr>
              <w:pStyle w:val="Compact"/>
              <w:jc w:val="left"/>
            </w:pPr>
            <w:r>
              <w:t xml:space="preserve">1.64</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1996</w:t>
            </w:r>
          </w:p>
        </w:tc>
        <w:tc>
          <w:tcPr/>
          <w:p>
            <w:pPr>
              <w:pStyle w:val="Compact"/>
              <w:jc w:val="left"/>
            </w:pPr>
            <w:r>
              <w:t xml:space="preserve">308.8</w:t>
            </w:r>
          </w:p>
        </w:tc>
        <w:tc>
          <w:tcPr/>
          <w:p>
            <w:pPr>
              <w:pStyle w:val="Compact"/>
              <w:jc w:val="left"/>
            </w:pPr>
            <w:r>
              <w:t xml:space="preserve">1.2</w:t>
            </w:r>
          </w:p>
        </w:tc>
        <w:tc>
          <w:tcPr/>
          <w:p>
            <w:pPr>
              <w:pStyle w:val="Compact"/>
              <w:jc w:val="left"/>
            </w:pPr>
            <w:r>
              <w:t xml:space="preserve">1.91</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1997</w:t>
            </w:r>
          </w:p>
        </w:tc>
        <w:tc>
          <w:tcPr/>
          <w:p>
            <w:pPr>
              <w:pStyle w:val="Compact"/>
              <w:jc w:val="left"/>
            </w:pPr>
            <w:r>
              <w:t xml:space="preserve">260.2</w:t>
            </w:r>
          </w:p>
        </w:tc>
        <w:tc>
          <w:tcPr/>
          <w:p>
            <w:pPr>
              <w:pStyle w:val="Compact"/>
              <w:jc w:val="left"/>
            </w:pPr>
            <w:r>
              <w:t xml:space="preserve">1.07</w:t>
            </w:r>
          </w:p>
        </w:tc>
        <w:tc>
          <w:tcPr/>
          <w:p>
            <w:pPr>
              <w:pStyle w:val="Compact"/>
              <w:jc w:val="left"/>
            </w:pPr>
            <w:r>
              <w:t xml:space="preserve">2.55</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1998</w:t>
            </w:r>
          </w:p>
        </w:tc>
        <w:tc>
          <w:tcPr/>
          <w:p>
            <w:pPr>
              <w:pStyle w:val="Compact"/>
              <w:jc w:val="left"/>
            </w:pPr>
            <w:r>
              <w:t xml:space="preserve">208.2</w:t>
            </w:r>
          </w:p>
        </w:tc>
        <w:tc>
          <w:tcPr/>
          <w:p>
            <w:pPr>
              <w:pStyle w:val="Compact"/>
              <w:jc w:val="left"/>
            </w:pPr>
            <w:r>
              <w:t xml:space="preserve">0.03</w:t>
            </w:r>
          </w:p>
        </w:tc>
        <w:tc>
          <w:tcPr/>
          <w:p>
            <w:pPr>
              <w:pStyle w:val="Compact"/>
              <w:jc w:val="left"/>
            </w:pPr>
            <w:r>
              <w:t xml:space="preserve">2.52</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1999</w:t>
            </w:r>
          </w:p>
        </w:tc>
        <w:tc>
          <w:tcPr/>
          <w:p>
            <w:pPr>
              <w:pStyle w:val="Compact"/>
              <w:jc w:val="left"/>
            </w:pPr>
            <w:r>
              <w:t xml:space="preserve">184.7</w:t>
            </w:r>
          </w:p>
        </w:tc>
        <w:tc>
          <w:tcPr/>
          <w:p>
            <w:pPr>
              <w:pStyle w:val="Compact"/>
              <w:jc w:val="left"/>
            </w:pPr>
            <w:r>
              <w:t xml:space="preserve">0.73</w:t>
            </w:r>
          </w:p>
        </w:tc>
        <w:tc>
          <w:tcPr/>
          <w:p>
            <w:pPr>
              <w:pStyle w:val="Compact"/>
              <w:jc w:val="left"/>
            </w:pPr>
            <w:r>
              <w:t xml:space="preserve">0.71</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2000</w:t>
            </w:r>
          </w:p>
        </w:tc>
        <w:tc>
          <w:tcPr/>
          <w:p>
            <w:pPr>
              <w:pStyle w:val="Compact"/>
              <w:jc w:val="left"/>
            </w:pPr>
            <w:r>
              <w:t xml:space="preserve">157</w:t>
            </w:r>
          </w:p>
        </w:tc>
        <w:tc>
          <w:tcPr/>
          <w:p>
            <w:pPr>
              <w:pStyle w:val="Compact"/>
              <w:jc w:val="left"/>
            </w:pPr>
            <w:r>
              <w:t xml:space="preserve">0.13</w:t>
            </w:r>
          </w:p>
        </w:tc>
        <w:tc>
          <w:tcPr/>
          <w:p>
            <w:pPr>
              <w:pStyle w:val="Compact"/>
              <w:jc w:val="left"/>
            </w:pPr>
            <w:r>
              <w:t xml:space="preserve">0.73</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2001</w:t>
            </w:r>
          </w:p>
        </w:tc>
        <w:tc>
          <w:tcPr/>
          <w:p>
            <w:pPr>
              <w:pStyle w:val="Compact"/>
              <w:jc w:val="left"/>
            </w:pPr>
            <w:r>
              <w:t xml:space="preserve">140.2</w:t>
            </w:r>
          </w:p>
        </w:tc>
        <w:tc>
          <w:tcPr/>
          <w:p>
            <w:pPr>
              <w:pStyle w:val="Compact"/>
              <w:jc w:val="left"/>
            </w:pPr>
            <w:r>
              <w:t xml:space="preserve">1.75</w:t>
            </w:r>
          </w:p>
        </w:tc>
        <w:tc>
          <w:tcPr/>
          <w:p>
            <w:pPr>
              <w:pStyle w:val="Compact"/>
              <w:jc w:val="left"/>
            </w:pPr>
            <w:r>
              <w:t xml:space="preserve">1.24</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2002</w:t>
            </w:r>
          </w:p>
        </w:tc>
        <w:tc>
          <w:tcPr/>
          <w:p>
            <w:pPr>
              <w:pStyle w:val="Compact"/>
              <w:jc w:val="left"/>
            </w:pPr>
            <w:r>
              <w:t xml:space="preserve">140</w:t>
            </w:r>
          </w:p>
        </w:tc>
        <w:tc>
          <w:tcPr/>
          <w:p>
            <w:pPr>
              <w:pStyle w:val="Compact"/>
              <w:jc w:val="left"/>
            </w:pPr>
            <w:r>
              <w:t xml:space="preserve">1.38</w:t>
            </w:r>
          </w:p>
        </w:tc>
        <w:tc>
          <w:tcPr/>
          <w:p>
            <w:pPr>
              <w:pStyle w:val="Compact"/>
              <w:jc w:val="left"/>
            </w:pPr>
            <w:r>
              <w:t xml:space="preserve">0.69</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2003</w:t>
            </w:r>
          </w:p>
        </w:tc>
        <w:tc>
          <w:tcPr/>
          <w:p>
            <w:pPr>
              <w:pStyle w:val="Compact"/>
              <w:jc w:val="left"/>
            </w:pPr>
            <w:r>
              <w:t xml:space="preserve">151.4</w:t>
            </w:r>
          </w:p>
        </w:tc>
        <w:tc>
          <w:tcPr/>
          <w:p>
            <w:pPr>
              <w:pStyle w:val="Compact"/>
              <w:jc w:val="left"/>
            </w:pPr>
            <w:r>
              <w:t xml:space="preserve">1.75</w:t>
            </w:r>
          </w:p>
        </w:tc>
        <w:tc>
          <w:tcPr/>
          <w:p>
            <w:pPr>
              <w:pStyle w:val="Compact"/>
              <w:jc w:val="left"/>
            </w:pPr>
            <w:r>
              <w:t xml:space="preserve">0.14</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2004</w:t>
            </w:r>
          </w:p>
        </w:tc>
        <w:tc>
          <w:tcPr/>
          <w:p>
            <w:pPr>
              <w:pStyle w:val="Compact"/>
              <w:jc w:val="left"/>
            </w:pPr>
            <w:r>
              <w:t xml:space="preserve">151.8</w:t>
            </w:r>
          </w:p>
        </w:tc>
        <w:tc>
          <w:tcPr/>
          <w:p>
            <w:pPr>
              <w:pStyle w:val="Compact"/>
              <w:jc w:val="left"/>
            </w:pPr>
            <w:r>
              <w:t xml:space="preserve">1.91</w:t>
            </w:r>
          </w:p>
        </w:tc>
        <w:tc>
          <w:tcPr/>
          <w:p>
            <w:pPr>
              <w:pStyle w:val="Compact"/>
              <w:jc w:val="left"/>
            </w:pPr>
            <w:r>
              <w:t xml:space="preserve">0.37</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2005</w:t>
            </w:r>
          </w:p>
        </w:tc>
        <w:tc>
          <w:tcPr/>
          <w:p>
            <w:pPr>
              <w:pStyle w:val="Compact"/>
              <w:jc w:val="left"/>
            </w:pPr>
            <w:r>
              <w:t xml:space="preserve">155.5</w:t>
            </w:r>
          </w:p>
        </w:tc>
        <w:tc>
          <w:tcPr/>
          <w:p>
            <w:pPr>
              <w:pStyle w:val="Compact"/>
              <w:jc w:val="left"/>
            </w:pPr>
            <w:r>
              <w:t xml:space="preserve">0.73</w:t>
            </w:r>
          </w:p>
        </w:tc>
        <w:tc>
          <w:tcPr/>
          <w:p>
            <w:pPr>
              <w:pStyle w:val="Compact"/>
              <w:jc w:val="left"/>
            </w:pPr>
            <w:r>
              <w:t xml:space="preserve">0.38</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2006</w:t>
            </w:r>
          </w:p>
        </w:tc>
        <w:tc>
          <w:tcPr/>
          <w:p>
            <w:pPr>
              <w:pStyle w:val="Compact"/>
              <w:jc w:val="left"/>
            </w:pPr>
            <w:r>
              <w:t xml:space="preserve">171</w:t>
            </w:r>
          </w:p>
        </w:tc>
        <w:tc>
          <w:tcPr/>
          <w:p>
            <w:pPr>
              <w:pStyle w:val="Compact"/>
              <w:jc w:val="left"/>
            </w:pPr>
            <w:r>
              <w:t xml:space="preserve">0.46</w:t>
            </w:r>
          </w:p>
        </w:tc>
        <w:tc>
          <w:tcPr/>
          <w:p>
            <w:pPr>
              <w:pStyle w:val="Compact"/>
              <w:jc w:val="left"/>
            </w:pPr>
            <w:r>
              <w:t xml:space="preserve">0.69</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2007</w:t>
            </w:r>
          </w:p>
        </w:tc>
        <w:tc>
          <w:tcPr/>
          <w:p>
            <w:pPr>
              <w:pStyle w:val="Compact"/>
              <w:jc w:val="left"/>
            </w:pPr>
            <w:r>
              <w:t xml:space="preserve">194.7</w:t>
            </w:r>
          </w:p>
        </w:tc>
        <w:tc>
          <w:tcPr/>
          <w:p>
            <w:pPr>
              <w:pStyle w:val="Compact"/>
              <w:jc w:val="left"/>
            </w:pPr>
            <w:r>
              <w:t xml:space="preserve">0.87</w:t>
            </w:r>
          </w:p>
        </w:tc>
        <w:tc>
          <w:tcPr/>
          <w:p>
            <w:pPr>
              <w:pStyle w:val="Compact"/>
              <w:jc w:val="left"/>
            </w:pPr>
            <w:r>
              <w:t xml:space="preserve">1.01</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2008</w:t>
            </w:r>
          </w:p>
        </w:tc>
        <w:tc>
          <w:tcPr/>
          <w:p>
            <w:pPr>
              <w:pStyle w:val="Compact"/>
              <w:jc w:val="left"/>
            </w:pPr>
            <w:r>
              <w:t xml:space="preserve">213</w:t>
            </w:r>
          </w:p>
        </w:tc>
        <w:tc>
          <w:tcPr/>
          <w:p>
            <w:pPr>
              <w:pStyle w:val="Compact"/>
              <w:jc w:val="left"/>
            </w:pPr>
            <w:r>
              <w:t xml:space="preserve">1.67</w:t>
            </w:r>
          </w:p>
        </w:tc>
        <w:tc>
          <w:tcPr/>
          <w:p>
            <w:pPr>
              <w:pStyle w:val="Compact"/>
              <w:jc w:val="left"/>
            </w:pPr>
            <w:r>
              <w:t xml:space="preserve">0.8</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2009</w:t>
            </w:r>
          </w:p>
        </w:tc>
        <w:tc>
          <w:tcPr/>
          <w:p>
            <w:pPr>
              <w:pStyle w:val="Compact"/>
              <w:jc w:val="left"/>
            </w:pPr>
            <w:r>
              <w:t xml:space="preserve">205.2</w:t>
            </w:r>
          </w:p>
        </w:tc>
        <w:tc>
          <w:tcPr/>
          <w:p>
            <w:pPr>
              <w:pStyle w:val="Compact"/>
              <w:jc w:val="left"/>
            </w:pPr>
            <w:r>
              <w:t xml:space="preserve">0.24</w:t>
            </w:r>
          </w:p>
        </w:tc>
        <w:tc>
          <w:tcPr/>
          <w:p>
            <w:pPr>
              <w:pStyle w:val="Compact"/>
              <w:jc w:val="left"/>
            </w:pPr>
            <w:r>
              <w:t xml:space="preserve">0.57</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2010</w:t>
            </w:r>
          </w:p>
        </w:tc>
        <w:tc>
          <w:tcPr/>
          <w:p>
            <w:pPr>
              <w:pStyle w:val="Compact"/>
              <w:jc w:val="left"/>
            </w:pPr>
            <w:r>
              <w:t xml:space="preserve">258.4</w:t>
            </w:r>
          </w:p>
        </w:tc>
        <w:tc>
          <w:tcPr/>
          <w:p>
            <w:pPr>
              <w:pStyle w:val="Compact"/>
              <w:jc w:val="left"/>
            </w:pPr>
            <w:r>
              <w:t xml:space="preserve">0.48</w:t>
            </w:r>
          </w:p>
        </w:tc>
        <w:tc>
          <w:tcPr/>
          <w:p>
            <w:pPr>
              <w:pStyle w:val="Compact"/>
              <w:jc w:val="left"/>
            </w:pPr>
            <w:r>
              <w:t xml:space="preserve">0.4</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2011</w:t>
            </w:r>
          </w:p>
        </w:tc>
        <w:tc>
          <w:tcPr/>
          <w:p>
            <w:pPr>
              <w:pStyle w:val="Compact"/>
              <w:jc w:val="left"/>
            </w:pPr>
            <w:r>
              <w:t xml:space="preserve">198</w:t>
            </w:r>
          </w:p>
        </w:tc>
        <w:tc>
          <w:tcPr/>
          <w:p>
            <w:pPr>
              <w:pStyle w:val="Compact"/>
              <w:jc w:val="left"/>
            </w:pPr>
            <w:r>
              <w:t xml:space="preserve">0.38</w:t>
            </w:r>
          </w:p>
        </w:tc>
        <w:tc>
          <w:tcPr/>
          <w:p>
            <w:pPr>
              <w:pStyle w:val="Compact"/>
              <w:jc w:val="left"/>
            </w:pPr>
            <w:r>
              <w:t xml:space="preserve">0.81</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2012</w:t>
            </w:r>
          </w:p>
        </w:tc>
        <w:tc>
          <w:tcPr/>
          <w:p>
            <w:pPr>
              <w:pStyle w:val="Compact"/>
              <w:jc w:val="left"/>
            </w:pPr>
            <w:r>
              <w:t xml:space="preserve">171.7</w:t>
            </w:r>
          </w:p>
        </w:tc>
        <w:tc>
          <w:tcPr/>
          <w:p>
            <w:pPr>
              <w:pStyle w:val="Compact"/>
              <w:jc w:val="left"/>
            </w:pPr>
            <w:r>
              <w:t xml:space="preserve">1.14</w:t>
            </w:r>
          </w:p>
        </w:tc>
        <w:tc>
          <w:tcPr/>
          <w:p>
            <w:pPr>
              <w:pStyle w:val="Compact"/>
              <w:jc w:val="left"/>
            </w:pPr>
            <w:r>
              <w:t xml:space="preserve">1.23</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2013</w:t>
            </w:r>
          </w:p>
        </w:tc>
        <w:tc>
          <w:tcPr/>
          <w:p>
            <w:pPr>
              <w:pStyle w:val="Compact"/>
              <w:jc w:val="left"/>
            </w:pPr>
            <w:r>
              <w:t xml:space="preserve">168.5</w:t>
            </w:r>
          </w:p>
        </w:tc>
        <w:tc>
          <w:tcPr/>
          <w:p>
            <w:pPr>
              <w:pStyle w:val="Compact"/>
              <w:jc w:val="left"/>
            </w:pPr>
            <w:r>
              <w:t xml:space="preserve">1.34</w:t>
            </w:r>
          </w:p>
        </w:tc>
        <w:tc>
          <w:tcPr/>
          <w:p>
            <w:pPr>
              <w:pStyle w:val="Compact"/>
              <w:jc w:val="left"/>
            </w:pPr>
            <w:r>
              <w:t xml:space="preserve">1.45</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2014</w:t>
            </w:r>
          </w:p>
        </w:tc>
        <w:tc>
          <w:tcPr/>
          <w:p>
            <w:pPr>
              <w:pStyle w:val="Compact"/>
              <w:jc w:val="left"/>
            </w:pPr>
            <w:r>
              <w:t xml:space="preserve">141.7</w:t>
            </w:r>
          </w:p>
        </w:tc>
        <w:tc>
          <w:tcPr/>
          <w:p>
            <w:pPr>
              <w:pStyle w:val="Compact"/>
              <w:jc w:val="left"/>
            </w:pPr>
            <w:r>
              <w:t xml:space="preserve">7.88</w:t>
            </w:r>
          </w:p>
        </w:tc>
        <w:tc>
          <w:tcPr/>
          <w:p>
            <w:pPr>
              <w:pStyle w:val="Compact"/>
              <w:jc w:val="left"/>
            </w:pPr>
            <w:r>
              <w:t xml:space="preserve">2.28</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2015</w:t>
            </w:r>
          </w:p>
        </w:tc>
        <w:tc>
          <w:tcPr/>
          <w:p>
            <w:pPr>
              <w:pStyle w:val="Compact"/>
              <w:jc w:val="left"/>
            </w:pPr>
            <w:r>
              <w:t xml:space="preserve">124.3</w:t>
            </w:r>
          </w:p>
        </w:tc>
        <w:tc>
          <w:tcPr/>
          <w:p>
            <w:pPr>
              <w:pStyle w:val="Compact"/>
              <w:jc w:val="left"/>
            </w:pPr>
            <w:r>
              <w:t xml:space="preserve">5.71</w:t>
            </w:r>
          </w:p>
        </w:tc>
        <w:tc>
          <w:tcPr/>
          <w:p>
            <w:pPr>
              <w:pStyle w:val="Compact"/>
              <w:jc w:val="left"/>
            </w:pPr>
            <w:r>
              <w:t xml:space="preserve">2.22</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2016</w:t>
            </w:r>
          </w:p>
        </w:tc>
        <w:tc>
          <w:tcPr/>
          <w:p>
            <w:pPr>
              <w:pStyle w:val="Compact"/>
              <w:jc w:val="left"/>
            </w:pPr>
            <w:r>
              <w:t xml:space="preserve">127.2</w:t>
            </w:r>
          </w:p>
        </w:tc>
        <w:tc>
          <w:tcPr/>
          <w:p>
            <w:pPr>
              <w:pStyle w:val="Compact"/>
              <w:jc w:val="left"/>
            </w:pPr>
            <w:r>
              <w:t xml:space="preserve">1.04</w:t>
            </w:r>
          </w:p>
        </w:tc>
        <w:tc>
          <w:tcPr/>
          <w:p>
            <w:pPr>
              <w:pStyle w:val="Compact"/>
              <w:jc w:val="left"/>
            </w:pPr>
            <w:r>
              <w:t xml:space="preserve">1.32</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2017</w:t>
            </w:r>
          </w:p>
        </w:tc>
        <w:tc>
          <w:tcPr/>
          <w:p>
            <w:pPr>
              <w:pStyle w:val="Compact"/>
              <w:jc w:val="left"/>
            </w:pPr>
            <w:r>
              <w:t xml:space="preserve">200.3</w:t>
            </w:r>
          </w:p>
        </w:tc>
        <w:tc>
          <w:tcPr/>
          <w:p>
            <w:pPr>
              <w:pStyle w:val="Compact"/>
              <w:jc w:val="left"/>
            </w:pPr>
            <w:r>
              <w:t xml:space="preserve">0.52</w:t>
            </w:r>
          </w:p>
        </w:tc>
        <w:tc>
          <w:tcPr/>
          <w:p>
            <w:pPr>
              <w:pStyle w:val="Compact"/>
              <w:jc w:val="left"/>
            </w:pPr>
            <w:r>
              <w:t xml:space="preserve">1.04</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2018</w:t>
            </w:r>
          </w:p>
        </w:tc>
        <w:tc>
          <w:tcPr/>
          <w:p>
            <w:pPr>
              <w:pStyle w:val="Compact"/>
              <w:jc w:val="left"/>
            </w:pPr>
            <w:r>
              <w:t xml:space="preserve">169.2</w:t>
            </w:r>
          </w:p>
        </w:tc>
        <w:tc>
          <w:tcPr/>
          <w:p>
            <w:pPr>
              <w:pStyle w:val="Compact"/>
              <w:jc w:val="left"/>
            </w:pPr>
            <w:r>
              <w:t xml:space="preserve">2.08</w:t>
            </w:r>
          </w:p>
        </w:tc>
        <w:tc>
          <w:tcPr/>
          <w:p>
            <w:pPr>
              <w:pStyle w:val="Compact"/>
              <w:jc w:val="left"/>
            </w:pPr>
            <w:r>
              <w:t xml:space="preserve">2.44</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2019</w:t>
            </w:r>
          </w:p>
        </w:tc>
        <w:tc>
          <w:tcPr/>
          <w:p>
            <w:pPr>
              <w:pStyle w:val="Compact"/>
              <w:jc w:val="left"/>
            </w:pPr>
            <w:r>
              <w:t xml:space="preserve">252.2</w:t>
            </w:r>
          </w:p>
        </w:tc>
        <w:tc>
          <w:tcPr/>
          <w:p>
            <w:pPr>
              <w:pStyle w:val="Compact"/>
              <w:jc w:val="left"/>
            </w:pPr>
            <w:r>
              <w:t xml:space="preserve">0.14</w:t>
            </w:r>
          </w:p>
        </w:tc>
        <w:tc>
          <w:tcPr/>
          <w:p>
            <w:pPr>
              <w:pStyle w:val="Compact"/>
              <w:jc w:val="left"/>
            </w:pPr>
            <w:r>
              <w:t xml:space="preserve">1.13</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2020</w:t>
            </w:r>
          </w:p>
        </w:tc>
        <w:tc>
          <w:tcPr/>
          <w:p>
            <w:pPr>
              <w:pStyle w:val="Compact"/>
              <w:jc w:val="left"/>
            </w:pPr>
            <w:r>
              <w:t xml:space="preserve">188.5</w:t>
            </w:r>
          </w:p>
        </w:tc>
        <w:tc>
          <w:tcPr/>
          <w:p>
            <w:pPr>
              <w:pStyle w:val="Compact"/>
              <w:jc w:val="left"/>
            </w:pPr>
            <w:r>
              <w:t xml:space="preserve">2.09</w:t>
            </w:r>
          </w:p>
        </w:tc>
        <w:tc>
          <w:tcPr/>
          <w:p>
            <w:pPr>
              <w:pStyle w:val="Compact"/>
              <w:jc w:val="left"/>
            </w:pPr>
            <w:r>
              <w:t xml:space="preserve">1.87</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2021</w:t>
            </w:r>
          </w:p>
        </w:tc>
        <w:tc>
          <w:tcPr/>
          <w:p>
            <w:pPr>
              <w:pStyle w:val="Compact"/>
              <w:jc w:val="left"/>
            </w:pPr>
            <w:r>
              <w:t xml:space="preserve">158.6</w:t>
            </w:r>
          </w:p>
        </w:tc>
        <w:tc>
          <w:tcPr/>
          <w:p>
            <w:pPr>
              <w:pStyle w:val="Compact"/>
              <w:jc w:val="left"/>
            </w:pPr>
            <w:r>
              <w:t xml:space="preserve">2.44</w:t>
            </w:r>
          </w:p>
        </w:tc>
        <w:tc>
          <w:tcPr/>
          <w:p>
            <w:pPr>
              <w:pStyle w:val="Compact"/>
              <w:jc w:val="left"/>
            </w:pPr>
            <w:r>
              <w:t xml:space="preserve">0.27</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2022</w:t>
            </w:r>
          </w:p>
        </w:tc>
        <w:tc>
          <w:tcPr/>
          <w:p>
            <w:pPr>
              <w:pStyle w:val="Compact"/>
              <w:jc w:val="left"/>
            </w:pPr>
            <w:r>
              <w:t xml:space="preserve">128.3</w:t>
            </w:r>
          </w:p>
        </w:tc>
        <w:tc>
          <w:tcPr/>
          <w:p>
            <w:pPr>
              <w:pStyle w:val="Compact"/>
              <w:jc w:val="left"/>
            </w:pPr>
            <w:r>
              <w:t xml:space="preserve">5.58</w:t>
            </w:r>
          </w:p>
        </w:tc>
        <w:tc>
          <w:tcPr/>
          <w:p>
            <w:pPr>
              <w:pStyle w:val="Compact"/>
              <w:jc w:val="left"/>
            </w:pPr>
            <w:r>
              <w:t xml:space="preserve">0</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2023</w:t>
            </w:r>
          </w:p>
        </w:tc>
        <w:tc>
          <w:tcPr/>
          <w:p>
            <w:pPr>
              <w:pStyle w:val="Compact"/>
              <w:jc w:val="left"/>
            </w:pPr>
            <w:r>
              <w:t xml:space="preserve">109.4</w:t>
            </w:r>
          </w:p>
        </w:tc>
        <w:tc>
          <w:tcPr/>
          <w:p>
            <w:pPr>
              <w:pStyle w:val="Compact"/>
              <w:jc w:val="left"/>
            </w:pPr>
            <w:r>
              <w:t xml:space="preserve">1.88</w:t>
            </w:r>
          </w:p>
        </w:tc>
        <w:tc>
          <w:tcPr/>
          <w:p>
            <w:pPr>
              <w:pStyle w:val="Compact"/>
              <w:jc w:val="left"/>
            </w:pPr>
            <w:r>
              <w:t xml:space="preserve">0</w:t>
            </w:r>
          </w:p>
        </w:tc>
      </w:tr>
      <w:tr>
        <w:tc>
          <w:tcPr/>
          <w:p>
            <w:pPr>
              <w:pStyle w:val="Compact"/>
              <w:jc w:val="left"/>
            </w:pPr>
            <w:r>
              <w:t xml:space="preserve">25.1 gmacs</w:t>
            </w:r>
            <w:r>
              <w:t xml:space="preserve"> </w:t>
            </w:r>
            <w:r>
              <w:t xml:space="preserve">(update +</w:t>
            </w:r>
            <w:r>
              <w:t xml:space="preserve"> </w:t>
            </w:r>
            <w:r>
              <w:t xml:space="preserve">hyb_both)</w:t>
            </w:r>
          </w:p>
        </w:tc>
        <w:tc>
          <w:tcPr/>
          <w:p>
            <w:pPr>
              <w:pStyle w:val="Compact"/>
              <w:jc w:val="left"/>
            </w:pPr>
            <w:r>
              <w:t xml:space="preserve">2024</w:t>
            </w:r>
          </w:p>
        </w:tc>
        <w:tc>
          <w:tcPr/>
          <w:p>
            <w:pPr>
              <w:pStyle w:val="Compact"/>
              <w:jc w:val="left"/>
            </w:pPr>
            <w:r>
              <w:t xml:space="preserve">129.6</w:t>
            </w:r>
          </w:p>
        </w:tc>
        <w:tc>
          <w:tcPr/>
          <w:p>
            <w:pPr>
              <w:pStyle w:val="Compact"/>
              <w:jc w:val="left"/>
            </w:pPr>
            <w:r>
              <w:t xml:space="preserve">1.73</w:t>
            </w:r>
          </w:p>
        </w:tc>
        <w:tc>
          <w:tcPr/>
          <w:p>
            <w:pPr>
              <w:pStyle w:val="Compact"/>
              <w:jc w:val="left"/>
            </w:pPr>
            <w:r>
              <w:t xml:space="preserve">0.28</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1982</w:t>
            </w:r>
          </w:p>
        </w:tc>
        <w:tc>
          <w:tcPr/>
          <w:p>
            <w:pPr>
              <w:pStyle w:val="Compact"/>
              <w:jc w:val="left"/>
            </w:pPr>
            <w:r>
              <w:t xml:space="preserve">219.7</w:t>
            </w:r>
          </w:p>
        </w:tc>
        <w:tc>
          <w:tcPr/>
          <w:p>
            <w:pPr>
              <w:pStyle w:val="Compact"/>
              <w:jc w:val="left"/>
            </w:pPr>
            <w:r>
              <w:t xml:space="preserve">4.4</w:t>
            </w:r>
          </w:p>
        </w:tc>
        <w:tc>
          <w:tcPr/>
          <w:p>
            <w:pPr>
              <w:pStyle w:val="Compact"/>
              <w:jc w:val="left"/>
            </w:pPr>
            <w:r>
              <w:t xml:space="preserve">0.19</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1983</w:t>
            </w:r>
          </w:p>
        </w:tc>
        <w:tc>
          <w:tcPr/>
          <w:p>
            <w:pPr>
              <w:pStyle w:val="Compact"/>
              <w:jc w:val="left"/>
            </w:pPr>
            <w:r>
              <w:t xml:space="preserve">325.2</w:t>
            </w:r>
          </w:p>
        </w:tc>
        <w:tc>
          <w:tcPr/>
          <w:p>
            <w:pPr>
              <w:pStyle w:val="Compact"/>
              <w:jc w:val="left"/>
            </w:pPr>
            <w:r>
              <w:t xml:space="preserve">2.44</w:t>
            </w:r>
          </w:p>
        </w:tc>
        <w:tc>
          <w:tcPr/>
          <w:p>
            <w:pPr>
              <w:pStyle w:val="Compact"/>
              <w:jc w:val="left"/>
            </w:pPr>
            <w:r>
              <w:t xml:space="preserve">0.13</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1984</w:t>
            </w:r>
          </w:p>
        </w:tc>
        <w:tc>
          <w:tcPr/>
          <w:p>
            <w:pPr>
              <w:pStyle w:val="Compact"/>
              <w:jc w:val="left"/>
            </w:pPr>
            <w:r>
              <w:t xml:space="preserve">386.1</w:t>
            </w:r>
          </w:p>
        </w:tc>
        <w:tc>
          <w:tcPr/>
          <w:p>
            <w:pPr>
              <w:pStyle w:val="Compact"/>
              <w:jc w:val="left"/>
            </w:pPr>
            <w:r>
              <w:t xml:space="preserve">3.67</w:t>
            </w:r>
          </w:p>
        </w:tc>
        <w:tc>
          <w:tcPr/>
          <w:p>
            <w:pPr>
              <w:pStyle w:val="Compact"/>
              <w:jc w:val="left"/>
            </w:pPr>
            <w:r>
              <w:t xml:space="preserve">0.25</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1985</w:t>
            </w:r>
          </w:p>
        </w:tc>
        <w:tc>
          <w:tcPr/>
          <w:p>
            <w:pPr>
              <w:pStyle w:val="Compact"/>
              <w:jc w:val="left"/>
            </w:pPr>
            <w:r>
              <w:t xml:space="preserve">393.8</w:t>
            </w:r>
          </w:p>
        </w:tc>
        <w:tc>
          <w:tcPr/>
          <w:p>
            <w:pPr>
              <w:pStyle w:val="Compact"/>
              <w:jc w:val="left"/>
            </w:pPr>
            <w:r>
              <w:t xml:space="preserve">4.56</w:t>
            </w:r>
          </w:p>
        </w:tc>
        <w:tc>
          <w:tcPr/>
          <w:p>
            <w:pPr>
              <w:pStyle w:val="Compact"/>
              <w:jc w:val="left"/>
            </w:pPr>
            <w:r>
              <w:t xml:space="preserve">0.36</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1986</w:t>
            </w:r>
          </w:p>
        </w:tc>
        <w:tc>
          <w:tcPr/>
          <w:p>
            <w:pPr>
              <w:pStyle w:val="Compact"/>
              <w:jc w:val="left"/>
            </w:pPr>
            <w:r>
              <w:t xml:space="preserve">390.6</w:t>
            </w:r>
          </w:p>
        </w:tc>
        <w:tc>
          <w:tcPr/>
          <w:p>
            <w:pPr>
              <w:pStyle w:val="Compact"/>
              <w:jc w:val="left"/>
            </w:pPr>
            <w:r>
              <w:t xml:space="preserve">0.22</w:t>
            </w:r>
          </w:p>
        </w:tc>
        <w:tc>
          <w:tcPr/>
          <w:p>
            <w:pPr>
              <w:pStyle w:val="Compact"/>
              <w:jc w:val="left"/>
            </w:pPr>
            <w:r>
              <w:t xml:space="preserve">0.42</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1987</w:t>
            </w:r>
          </w:p>
        </w:tc>
        <w:tc>
          <w:tcPr/>
          <w:p>
            <w:pPr>
              <w:pStyle w:val="Compact"/>
              <w:jc w:val="left"/>
            </w:pPr>
            <w:r>
              <w:t xml:space="preserve">400.7</w:t>
            </w:r>
          </w:p>
        </w:tc>
        <w:tc>
          <w:tcPr/>
          <w:p>
            <w:pPr>
              <w:pStyle w:val="Compact"/>
              <w:jc w:val="left"/>
            </w:pPr>
            <w:r>
              <w:t xml:space="preserve">1.97</w:t>
            </w:r>
          </w:p>
        </w:tc>
        <w:tc>
          <w:tcPr/>
          <w:p>
            <w:pPr>
              <w:pStyle w:val="Compact"/>
              <w:jc w:val="left"/>
            </w:pPr>
            <w:r>
              <w:t xml:space="preserve">0.63</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1988</w:t>
            </w:r>
          </w:p>
        </w:tc>
        <w:tc>
          <w:tcPr/>
          <w:p>
            <w:pPr>
              <w:pStyle w:val="Compact"/>
              <w:jc w:val="left"/>
            </w:pPr>
            <w:r>
              <w:t xml:space="preserve">443.7</w:t>
            </w:r>
          </w:p>
        </w:tc>
        <w:tc>
          <w:tcPr/>
          <w:p>
            <w:pPr>
              <w:pStyle w:val="Compact"/>
              <w:jc w:val="left"/>
            </w:pPr>
            <w:r>
              <w:t xml:space="preserve">1.36</w:t>
            </w:r>
          </w:p>
        </w:tc>
        <w:tc>
          <w:tcPr/>
          <w:p>
            <w:pPr>
              <w:pStyle w:val="Compact"/>
              <w:jc w:val="left"/>
            </w:pPr>
            <w:r>
              <w:t xml:space="preserve">0.67</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1989</w:t>
            </w:r>
          </w:p>
        </w:tc>
        <w:tc>
          <w:tcPr/>
          <w:p>
            <w:pPr>
              <w:pStyle w:val="Compact"/>
              <w:jc w:val="left"/>
            </w:pPr>
            <w:r>
              <w:t xml:space="preserve">443.3</w:t>
            </w:r>
          </w:p>
        </w:tc>
        <w:tc>
          <w:tcPr/>
          <w:p>
            <w:pPr>
              <w:pStyle w:val="Compact"/>
              <w:jc w:val="left"/>
            </w:pPr>
            <w:r>
              <w:t xml:space="preserve">0.67</w:t>
            </w:r>
          </w:p>
        </w:tc>
        <w:tc>
          <w:tcPr/>
          <w:p>
            <w:pPr>
              <w:pStyle w:val="Compact"/>
              <w:jc w:val="left"/>
            </w:pPr>
            <w:r>
              <w:t xml:space="preserve">0.69</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1990</w:t>
            </w:r>
          </w:p>
        </w:tc>
        <w:tc>
          <w:tcPr/>
          <w:p>
            <w:pPr>
              <w:pStyle w:val="Compact"/>
              <w:jc w:val="left"/>
            </w:pPr>
            <w:r>
              <w:t xml:space="preserve">380.8</w:t>
            </w:r>
          </w:p>
        </w:tc>
        <w:tc>
          <w:tcPr/>
          <w:p>
            <w:pPr>
              <w:pStyle w:val="Compact"/>
              <w:jc w:val="left"/>
            </w:pPr>
            <w:r>
              <w:t xml:space="preserve">3.74</w:t>
            </w:r>
          </w:p>
        </w:tc>
        <w:tc>
          <w:tcPr/>
          <w:p>
            <w:pPr>
              <w:pStyle w:val="Compact"/>
              <w:jc w:val="left"/>
            </w:pPr>
            <w:r>
              <w:t xml:space="preserve">1.94</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1991</w:t>
            </w:r>
          </w:p>
        </w:tc>
        <w:tc>
          <w:tcPr/>
          <w:p>
            <w:pPr>
              <w:pStyle w:val="Compact"/>
              <w:jc w:val="left"/>
            </w:pPr>
            <w:r>
              <w:t xml:space="preserve">363.4</w:t>
            </w:r>
          </w:p>
        </w:tc>
        <w:tc>
          <w:tcPr/>
          <w:p>
            <w:pPr>
              <w:pStyle w:val="Compact"/>
              <w:jc w:val="left"/>
            </w:pPr>
            <w:r>
              <w:t xml:space="preserve">4.35</w:t>
            </w:r>
          </w:p>
        </w:tc>
        <w:tc>
          <w:tcPr/>
          <w:p>
            <w:pPr>
              <w:pStyle w:val="Compact"/>
              <w:jc w:val="left"/>
            </w:pPr>
            <w:r>
              <w:t xml:space="preserve">1.19</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1992</w:t>
            </w:r>
          </w:p>
        </w:tc>
        <w:tc>
          <w:tcPr/>
          <w:p>
            <w:pPr>
              <w:pStyle w:val="Compact"/>
              <w:jc w:val="left"/>
            </w:pPr>
            <w:r>
              <w:t xml:space="preserve">326.5</w:t>
            </w:r>
          </w:p>
        </w:tc>
        <w:tc>
          <w:tcPr/>
          <w:p>
            <w:pPr>
              <w:pStyle w:val="Compact"/>
              <w:jc w:val="left"/>
            </w:pPr>
            <w:r>
              <w:t xml:space="preserve">0.2</w:t>
            </w:r>
          </w:p>
        </w:tc>
        <w:tc>
          <w:tcPr/>
          <w:p>
            <w:pPr>
              <w:pStyle w:val="Compact"/>
              <w:jc w:val="left"/>
            </w:pPr>
            <w:r>
              <w:t xml:space="preserve">1.62</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1993</w:t>
            </w:r>
          </w:p>
        </w:tc>
        <w:tc>
          <w:tcPr/>
          <w:p>
            <w:pPr>
              <w:pStyle w:val="Compact"/>
              <w:jc w:val="left"/>
            </w:pPr>
            <w:r>
              <w:t xml:space="preserve">305.4</w:t>
            </w:r>
          </w:p>
        </w:tc>
        <w:tc>
          <w:tcPr/>
          <w:p>
            <w:pPr>
              <w:pStyle w:val="Compact"/>
              <w:jc w:val="left"/>
            </w:pPr>
            <w:r>
              <w:t xml:space="preserve">0.75</w:t>
            </w:r>
          </w:p>
        </w:tc>
        <w:tc>
          <w:tcPr/>
          <w:p>
            <w:pPr>
              <w:pStyle w:val="Compact"/>
              <w:jc w:val="left"/>
            </w:pPr>
            <w:r>
              <w:t xml:space="preserve">1.82</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1994</w:t>
            </w:r>
          </w:p>
        </w:tc>
        <w:tc>
          <w:tcPr/>
          <w:p>
            <w:pPr>
              <w:pStyle w:val="Compact"/>
              <w:jc w:val="left"/>
            </w:pPr>
            <w:r>
              <w:t xml:space="preserve">298.8</w:t>
            </w:r>
          </w:p>
        </w:tc>
        <w:tc>
          <w:tcPr/>
          <w:p>
            <w:pPr>
              <w:pStyle w:val="Compact"/>
              <w:jc w:val="left"/>
            </w:pPr>
            <w:r>
              <w:t xml:space="preserve">0.23</w:t>
            </w:r>
          </w:p>
        </w:tc>
        <w:tc>
          <w:tcPr/>
          <w:p>
            <w:pPr>
              <w:pStyle w:val="Compact"/>
              <w:jc w:val="left"/>
            </w:pPr>
            <w:r>
              <w:t xml:space="preserve">1.31</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1995</w:t>
            </w:r>
          </w:p>
        </w:tc>
        <w:tc>
          <w:tcPr/>
          <w:p>
            <w:pPr>
              <w:pStyle w:val="Compact"/>
              <w:jc w:val="left"/>
            </w:pPr>
            <w:r>
              <w:t xml:space="preserve">333.9</w:t>
            </w:r>
          </w:p>
        </w:tc>
        <w:tc>
          <w:tcPr/>
          <w:p>
            <w:pPr>
              <w:pStyle w:val="Compact"/>
              <w:jc w:val="left"/>
            </w:pPr>
            <w:r>
              <w:t xml:space="preserve">0.31</w:t>
            </w:r>
          </w:p>
        </w:tc>
        <w:tc>
          <w:tcPr/>
          <w:p>
            <w:pPr>
              <w:pStyle w:val="Compact"/>
              <w:jc w:val="left"/>
            </w:pPr>
            <w:r>
              <w:t xml:space="preserve">1.35</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1996</w:t>
            </w:r>
          </w:p>
        </w:tc>
        <w:tc>
          <w:tcPr/>
          <w:p>
            <w:pPr>
              <w:pStyle w:val="Compact"/>
              <w:jc w:val="left"/>
            </w:pPr>
            <w:r>
              <w:t xml:space="preserve">356</w:t>
            </w:r>
          </w:p>
        </w:tc>
        <w:tc>
          <w:tcPr/>
          <w:p>
            <w:pPr>
              <w:pStyle w:val="Compact"/>
              <w:jc w:val="left"/>
            </w:pPr>
            <w:r>
              <w:t xml:space="preserve">0.27</w:t>
            </w:r>
          </w:p>
        </w:tc>
        <w:tc>
          <w:tcPr/>
          <w:p>
            <w:pPr>
              <w:pStyle w:val="Compact"/>
              <w:jc w:val="left"/>
            </w:pPr>
            <w:r>
              <w:t xml:space="preserve">1.38</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1997</w:t>
            </w:r>
          </w:p>
        </w:tc>
        <w:tc>
          <w:tcPr/>
          <w:p>
            <w:pPr>
              <w:pStyle w:val="Compact"/>
              <w:jc w:val="left"/>
            </w:pPr>
            <w:r>
              <w:t xml:space="preserve">322.3</w:t>
            </w:r>
          </w:p>
        </w:tc>
        <w:tc>
          <w:tcPr/>
          <w:p>
            <w:pPr>
              <w:pStyle w:val="Compact"/>
              <w:jc w:val="left"/>
            </w:pPr>
            <w:r>
              <w:t xml:space="preserve">0.9</w:t>
            </w:r>
          </w:p>
        </w:tc>
        <w:tc>
          <w:tcPr/>
          <w:p>
            <w:pPr>
              <w:pStyle w:val="Compact"/>
              <w:jc w:val="left"/>
            </w:pPr>
            <w:r>
              <w:t xml:space="preserve">1.27</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1998</w:t>
            </w:r>
          </w:p>
        </w:tc>
        <w:tc>
          <w:tcPr/>
          <w:p>
            <w:pPr>
              <w:pStyle w:val="Compact"/>
              <w:jc w:val="left"/>
            </w:pPr>
            <w:r>
              <w:t xml:space="preserve">242.9</w:t>
            </w:r>
          </w:p>
        </w:tc>
        <w:tc>
          <w:tcPr/>
          <w:p>
            <w:pPr>
              <w:pStyle w:val="Compact"/>
              <w:jc w:val="left"/>
            </w:pPr>
            <w:r>
              <w:t xml:space="preserve">0.56</w:t>
            </w:r>
          </w:p>
        </w:tc>
        <w:tc>
          <w:tcPr/>
          <w:p>
            <w:pPr>
              <w:pStyle w:val="Compact"/>
              <w:jc w:val="left"/>
            </w:pPr>
            <w:r>
              <w:t xml:space="preserve">2.26</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1999</w:t>
            </w:r>
          </w:p>
        </w:tc>
        <w:tc>
          <w:tcPr/>
          <w:p>
            <w:pPr>
              <w:pStyle w:val="Compact"/>
              <w:jc w:val="left"/>
            </w:pPr>
            <w:r>
              <w:t xml:space="preserve">213.2</w:t>
            </w:r>
          </w:p>
        </w:tc>
        <w:tc>
          <w:tcPr/>
          <w:p>
            <w:pPr>
              <w:pStyle w:val="Compact"/>
              <w:jc w:val="left"/>
            </w:pPr>
            <w:r>
              <w:t xml:space="preserve">0.84</w:t>
            </w:r>
          </w:p>
        </w:tc>
        <w:tc>
          <w:tcPr/>
          <w:p>
            <w:pPr>
              <w:pStyle w:val="Compact"/>
              <w:jc w:val="left"/>
            </w:pPr>
            <w:r>
              <w:t xml:space="preserve">0.53</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2000</w:t>
            </w:r>
          </w:p>
        </w:tc>
        <w:tc>
          <w:tcPr/>
          <w:p>
            <w:pPr>
              <w:pStyle w:val="Compact"/>
              <w:jc w:val="left"/>
            </w:pPr>
            <w:r>
              <w:t xml:space="preserve">173.7</w:t>
            </w:r>
          </w:p>
        </w:tc>
        <w:tc>
          <w:tcPr/>
          <w:p>
            <w:pPr>
              <w:pStyle w:val="Compact"/>
              <w:jc w:val="left"/>
            </w:pPr>
            <w:r>
              <w:t xml:space="preserve">0.16</w:t>
            </w:r>
          </w:p>
        </w:tc>
        <w:tc>
          <w:tcPr/>
          <w:p>
            <w:pPr>
              <w:pStyle w:val="Compact"/>
              <w:jc w:val="left"/>
            </w:pPr>
            <w:r>
              <w:t xml:space="preserve">0.51</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2001</w:t>
            </w:r>
          </w:p>
        </w:tc>
        <w:tc>
          <w:tcPr/>
          <w:p>
            <w:pPr>
              <w:pStyle w:val="Compact"/>
              <w:jc w:val="left"/>
            </w:pPr>
            <w:r>
              <w:t xml:space="preserve">139.2</w:t>
            </w:r>
          </w:p>
        </w:tc>
        <w:tc>
          <w:tcPr/>
          <w:p>
            <w:pPr>
              <w:pStyle w:val="Compact"/>
              <w:jc w:val="left"/>
            </w:pPr>
            <w:r>
              <w:t xml:space="preserve">1.9</w:t>
            </w:r>
          </w:p>
        </w:tc>
        <w:tc>
          <w:tcPr/>
          <w:p>
            <w:pPr>
              <w:pStyle w:val="Compact"/>
              <w:jc w:val="left"/>
            </w:pPr>
            <w:r>
              <w:t xml:space="preserve">0.94</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2002</w:t>
            </w:r>
          </w:p>
        </w:tc>
        <w:tc>
          <w:tcPr/>
          <w:p>
            <w:pPr>
              <w:pStyle w:val="Compact"/>
              <w:jc w:val="left"/>
            </w:pPr>
            <w:r>
              <w:t xml:space="preserve">123.2</w:t>
            </w:r>
          </w:p>
        </w:tc>
        <w:tc>
          <w:tcPr/>
          <w:p>
            <w:pPr>
              <w:pStyle w:val="Compact"/>
              <w:jc w:val="left"/>
            </w:pPr>
            <w:r>
              <w:t xml:space="preserve">1.72</w:t>
            </w:r>
          </w:p>
        </w:tc>
        <w:tc>
          <w:tcPr/>
          <w:p>
            <w:pPr>
              <w:pStyle w:val="Compact"/>
              <w:jc w:val="left"/>
            </w:pPr>
            <w:r>
              <w:t xml:space="preserve">1.11</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2003</w:t>
            </w:r>
          </w:p>
        </w:tc>
        <w:tc>
          <w:tcPr/>
          <w:p>
            <w:pPr>
              <w:pStyle w:val="Compact"/>
              <w:jc w:val="left"/>
            </w:pPr>
            <w:r>
              <w:t xml:space="preserve">125.8</w:t>
            </w:r>
          </w:p>
        </w:tc>
        <w:tc>
          <w:tcPr/>
          <w:p>
            <w:pPr>
              <w:pStyle w:val="Compact"/>
              <w:jc w:val="left"/>
            </w:pPr>
            <w:r>
              <w:t xml:space="preserve">1.77</w:t>
            </w:r>
          </w:p>
        </w:tc>
        <w:tc>
          <w:tcPr/>
          <w:p>
            <w:pPr>
              <w:pStyle w:val="Compact"/>
              <w:jc w:val="left"/>
            </w:pPr>
            <w:r>
              <w:t xml:space="preserve">0.55</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2004</w:t>
            </w:r>
          </w:p>
        </w:tc>
        <w:tc>
          <w:tcPr/>
          <w:p>
            <w:pPr>
              <w:pStyle w:val="Compact"/>
              <w:jc w:val="left"/>
            </w:pPr>
            <w:r>
              <w:t xml:space="preserve">143.6</w:t>
            </w:r>
          </w:p>
        </w:tc>
        <w:tc>
          <w:tcPr/>
          <w:p>
            <w:pPr>
              <w:pStyle w:val="Compact"/>
              <w:jc w:val="left"/>
            </w:pPr>
            <w:r>
              <w:t xml:space="preserve">2.21</w:t>
            </w:r>
          </w:p>
        </w:tc>
        <w:tc>
          <w:tcPr/>
          <w:p>
            <w:pPr>
              <w:pStyle w:val="Compact"/>
              <w:jc w:val="left"/>
            </w:pPr>
            <w:r>
              <w:t xml:space="preserve">0.45</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2005</w:t>
            </w:r>
          </w:p>
        </w:tc>
        <w:tc>
          <w:tcPr/>
          <w:p>
            <w:pPr>
              <w:pStyle w:val="Compact"/>
              <w:jc w:val="left"/>
            </w:pPr>
            <w:r>
              <w:t xml:space="preserve">160.9</w:t>
            </w:r>
          </w:p>
        </w:tc>
        <w:tc>
          <w:tcPr/>
          <w:p>
            <w:pPr>
              <w:pStyle w:val="Compact"/>
              <w:jc w:val="left"/>
            </w:pPr>
            <w:r>
              <w:t xml:space="preserve">0.6</w:t>
            </w:r>
          </w:p>
        </w:tc>
        <w:tc>
          <w:tcPr/>
          <w:p>
            <w:pPr>
              <w:pStyle w:val="Compact"/>
              <w:jc w:val="left"/>
            </w:pPr>
            <w:r>
              <w:t xml:space="preserve">0.38</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2006</w:t>
            </w:r>
          </w:p>
        </w:tc>
        <w:tc>
          <w:tcPr/>
          <w:p>
            <w:pPr>
              <w:pStyle w:val="Compact"/>
              <w:jc w:val="left"/>
            </w:pPr>
            <w:r>
              <w:t xml:space="preserve">182.9</w:t>
            </w:r>
          </w:p>
        </w:tc>
        <w:tc>
          <w:tcPr/>
          <w:p>
            <w:pPr>
              <w:pStyle w:val="Compact"/>
              <w:jc w:val="left"/>
            </w:pPr>
            <w:r>
              <w:t xml:space="preserve">0.54</w:t>
            </w:r>
          </w:p>
        </w:tc>
        <w:tc>
          <w:tcPr/>
          <w:p>
            <w:pPr>
              <w:pStyle w:val="Compact"/>
              <w:jc w:val="left"/>
            </w:pPr>
            <w:r>
              <w:t xml:space="preserve">0.69</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2007</w:t>
            </w:r>
          </w:p>
        </w:tc>
        <w:tc>
          <w:tcPr/>
          <w:p>
            <w:pPr>
              <w:pStyle w:val="Compact"/>
              <w:jc w:val="left"/>
            </w:pPr>
            <w:r>
              <w:t xml:space="preserve">210.6</w:t>
            </w:r>
          </w:p>
        </w:tc>
        <w:tc>
          <w:tcPr/>
          <w:p>
            <w:pPr>
              <w:pStyle w:val="Compact"/>
              <w:jc w:val="left"/>
            </w:pPr>
            <w:r>
              <w:t xml:space="preserve">0.82</w:t>
            </w:r>
          </w:p>
        </w:tc>
        <w:tc>
          <w:tcPr/>
          <w:p>
            <w:pPr>
              <w:pStyle w:val="Compact"/>
              <w:jc w:val="left"/>
            </w:pPr>
            <w:r>
              <w:t xml:space="preserve">0.97</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2008</w:t>
            </w:r>
          </w:p>
        </w:tc>
        <w:tc>
          <w:tcPr/>
          <w:p>
            <w:pPr>
              <w:pStyle w:val="Compact"/>
              <w:jc w:val="left"/>
            </w:pPr>
            <w:r>
              <w:t xml:space="preserve">230.7</w:t>
            </w:r>
          </w:p>
        </w:tc>
        <w:tc>
          <w:tcPr/>
          <w:p>
            <w:pPr>
              <w:pStyle w:val="Compact"/>
              <w:jc w:val="left"/>
            </w:pPr>
            <w:r>
              <w:t xml:space="preserve">1.85</w:t>
            </w:r>
          </w:p>
        </w:tc>
        <w:tc>
          <w:tcPr/>
          <w:p>
            <w:pPr>
              <w:pStyle w:val="Compact"/>
              <w:jc w:val="left"/>
            </w:pPr>
            <w:r>
              <w:t xml:space="preserve">0.74</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2009</w:t>
            </w:r>
          </w:p>
        </w:tc>
        <w:tc>
          <w:tcPr/>
          <w:p>
            <w:pPr>
              <w:pStyle w:val="Compact"/>
              <w:jc w:val="left"/>
            </w:pPr>
            <w:r>
              <w:t xml:space="preserve">220.4</w:t>
            </w:r>
          </w:p>
        </w:tc>
        <w:tc>
          <w:tcPr/>
          <w:p>
            <w:pPr>
              <w:pStyle w:val="Compact"/>
              <w:jc w:val="left"/>
            </w:pPr>
            <w:r>
              <w:t xml:space="preserve">0.28</w:t>
            </w:r>
          </w:p>
        </w:tc>
        <w:tc>
          <w:tcPr/>
          <w:p>
            <w:pPr>
              <w:pStyle w:val="Compact"/>
              <w:jc w:val="left"/>
            </w:pPr>
            <w:r>
              <w:t xml:space="preserve">0.54</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2010</w:t>
            </w:r>
          </w:p>
        </w:tc>
        <w:tc>
          <w:tcPr/>
          <w:p>
            <w:pPr>
              <w:pStyle w:val="Compact"/>
              <w:jc w:val="left"/>
            </w:pPr>
            <w:r>
              <w:t xml:space="preserve">270.5</w:t>
            </w:r>
          </w:p>
        </w:tc>
        <w:tc>
          <w:tcPr/>
          <w:p>
            <w:pPr>
              <w:pStyle w:val="Compact"/>
              <w:jc w:val="left"/>
            </w:pPr>
            <w:r>
              <w:t xml:space="preserve">0.49</w:t>
            </w:r>
          </w:p>
        </w:tc>
        <w:tc>
          <w:tcPr/>
          <w:p>
            <w:pPr>
              <w:pStyle w:val="Compact"/>
              <w:jc w:val="left"/>
            </w:pPr>
            <w:r>
              <w:t xml:space="preserve">0.38</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2011</w:t>
            </w:r>
          </w:p>
        </w:tc>
        <w:tc>
          <w:tcPr/>
          <w:p>
            <w:pPr>
              <w:pStyle w:val="Compact"/>
              <w:jc w:val="left"/>
            </w:pPr>
            <w:r>
              <w:t xml:space="preserve">207.6</w:t>
            </w:r>
          </w:p>
        </w:tc>
        <w:tc>
          <w:tcPr/>
          <w:p>
            <w:pPr>
              <w:pStyle w:val="Compact"/>
              <w:jc w:val="left"/>
            </w:pPr>
            <w:r>
              <w:t xml:space="preserve">0.41</w:t>
            </w:r>
          </w:p>
        </w:tc>
        <w:tc>
          <w:tcPr/>
          <w:p>
            <w:pPr>
              <w:pStyle w:val="Compact"/>
              <w:jc w:val="left"/>
            </w:pPr>
            <w:r>
              <w:t xml:space="preserve">0.78</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2012</w:t>
            </w:r>
          </w:p>
        </w:tc>
        <w:tc>
          <w:tcPr/>
          <w:p>
            <w:pPr>
              <w:pStyle w:val="Compact"/>
              <w:jc w:val="left"/>
            </w:pPr>
            <w:r>
              <w:t xml:space="preserve">179.1</w:t>
            </w:r>
          </w:p>
        </w:tc>
        <w:tc>
          <w:tcPr/>
          <w:p>
            <w:pPr>
              <w:pStyle w:val="Compact"/>
              <w:jc w:val="left"/>
            </w:pPr>
            <w:r>
              <w:t xml:space="preserve">1.37</w:t>
            </w:r>
          </w:p>
        </w:tc>
        <w:tc>
          <w:tcPr/>
          <w:p>
            <w:pPr>
              <w:pStyle w:val="Compact"/>
              <w:jc w:val="left"/>
            </w:pPr>
            <w:r>
              <w:t xml:space="preserve">1.2</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2013</w:t>
            </w:r>
          </w:p>
        </w:tc>
        <w:tc>
          <w:tcPr/>
          <w:p>
            <w:pPr>
              <w:pStyle w:val="Compact"/>
              <w:jc w:val="left"/>
            </w:pPr>
            <w:r>
              <w:t xml:space="preserve">174.9</w:t>
            </w:r>
          </w:p>
        </w:tc>
        <w:tc>
          <w:tcPr/>
          <w:p>
            <w:pPr>
              <w:pStyle w:val="Compact"/>
              <w:jc w:val="left"/>
            </w:pPr>
            <w:r>
              <w:t xml:space="preserve">1.58</w:t>
            </w:r>
          </w:p>
        </w:tc>
        <w:tc>
          <w:tcPr/>
          <w:p>
            <w:pPr>
              <w:pStyle w:val="Compact"/>
              <w:jc w:val="left"/>
            </w:pPr>
            <w:r>
              <w:t xml:space="preserve">1.48</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2014</w:t>
            </w:r>
          </w:p>
        </w:tc>
        <w:tc>
          <w:tcPr/>
          <w:p>
            <w:pPr>
              <w:pStyle w:val="Compact"/>
              <w:jc w:val="left"/>
            </w:pPr>
            <w:r>
              <w:t xml:space="preserve">148.3</w:t>
            </w:r>
          </w:p>
        </w:tc>
        <w:tc>
          <w:tcPr/>
          <w:p>
            <w:pPr>
              <w:pStyle w:val="Compact"/>
              <w:jc w:val="left"/>
            </w:pPr>
            <w:r>
              <w:t xml:space="preserve">10.15</w:t>
            </w:r>
          </w:p>
        </w:tc>
        <w:tc>
          <w:tcPr/>
          <w:p>
            <w:pPr>
              <w:pStyle w:val="Compact"/>
              <w:jc w:val="left"/>
            </w:pPr>
            <w:r>
              <w:t xml:space="preserve">2.27</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2015</w:t>
            </w:r>
          </w:p>
        </w:tc>
        <w:tc>
          <w:tcPr/>
          <w:p>
            <w:pPr>
              <w:pStyle w:val="Compact"/>
              <w:jc w:val="left"/>
            </w:pPr>
            <w:r>
              <w:t xml:space="preserve">131.3</w:t>
            </w:r>
          </w:p>
        </w:tc>
        <w:tc>
          <w:tcPr/>
          <w:p>
            <w:pPr>
              <w:pStyle w:val="Compact"/>
              <w:jc w:val="left"/>
            </w:pPr>
            <w:r>
              <w:t xml:space="preserve">7.32</w:t>
            </w:r>
          </w:p>
        </w:tc>
        <w:tc>
          <w:tcPr/>
          <w:p>
            <w:pPr>
              <w:pStyle w:val="Compact"/>
              <w:jc w:val="left"/>
            </w:pPr>
            <w:r>
              <w:t xml:space="preserve">2.17</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2016</w:t>
            </w:r>
          </w:p>
        </w:tc>
        <w:tc>
          <w:tcPr/>
          <w:p>
            <w:pPr>
              <w:pStyle w:val="Compact"/>
              <w:jc w:val="left"/>
            </w:pPr>
            <w:r>
              <w:t xml:space="preserve">137.8</w:t>
            </w:r>
          </w:p>
        </w:tc>
        <w:tc>
          <w:tcPr/>
          <w:p>
            <w:pPr>
              <w:pStyle w:val="Compact"/>
              <w:jc w:val="left"/>
            </w:pPr>
            <w:r>
              <w:t xml:space="preserve">1.33</w:t>
            </w:r>
          </w:p>
        </w:tc>
        <w:tc>
          <w:tcPr/>
          <w:p>
            <w:pPr>
              <w:pStyle w:val="Compact"/>
              <w:jc w:val="left"/>
            </w:pPr>
            <w:r>
              <w:t xml:space="preserve">1.31</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2017</w:t>
            </w:r>
          </w:p>
        </w:tc>
        <w:tc>
          <w:tcPr/>
          <w:p>
            <w:pPr>
              <w:pStyle w:val="Compact"/>
              <w:jc w:val="left"/>
            </w:pPr>
            <w:r>
              <w:t xml:space="preserve">229.3</w:t>
            </w:r>
          </w:p>
        </w:tc>
        <w:tc>
          <w:tcPr/>
          <w:p>
            <w:pPr>
              <w:pStyle w:val="Compact"/>
              <w:jc w:val="left"/>
            </w:pPr>
            <w:r>
              <w:t xml:space="preserve">1.59</w:t>
            </w:r>
          </w:p>
        </w:tc>
        <w:tc>
          <w:tcPr/>
          <w:p>
            <w:pPr>
              <w:pStyle w:val="Compact"/>
              <w:jc w:val="left"/>
            </w:pPr>
            <w:r>
              <w:t xml:space="preserve">1</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2018</w:t>
            </w:r>
          </w:p>
        </w:tc>
        <w:tc>
          <w:tcPr/>
          <w:p>
            <w:pPr>
              <w:pStyle w:val="Compact"/>
              <w:jc w:val="left"/>
            </w:pPr>
            <w:r>
              <w:t xml:space="preserve">188.9</w:t>
            </w:r>
          </w:p>
        </w:tc>
        <w:tc>
          <w:tcPr/>
          <w:p>
            <w:pPr>
              <w:pStyle w:val="Compact"/>
              <w:jc w:val="left"/>
            </w:pPr>
            <w:r>
              <w:t xml:space="preserve">1.37</w:t>
            </w:r>
          </w:p>
        </w:tc>
        <w:tc>
          <w:tcPr/>
          <w:p>
            <w:pPr>
              <w:pStyle w:val="Compact"/>
              <w:jc w:val="left"/>
            </w:pPr>
            <w:r>
              <w:t xml:space="preserve">2.35</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2019</w:t>
            </w:r>
          </w:p>
        </w:tc>
        <w:tc>
          <w:tcPr/>
          <w:p>
            <w:pPr>
              <w:pStyle w:val="Compact"/>
              <w:jc w:val="left"/>
            </w:pPr>
            <w:r>
              <w:t xml:space="preserve">268.6</w:t>
            </w:r>
          </w:p>
        </w:tc>
        <w:tc>
          <w:tcPr/>
          <w:p>
            <w:pPr>
              <w:pStyle w:val="Compact"/>
              <w:jc w:val="left"/>
            </w:pPr>
            <w:r>
              <w:t xml:space="preserve">0.9</w:t>
            </w:r>
          </w:p>
        </w:tc>
        <w:tc>
          <w:tcPr/>
          <w:p>
            <w:pPr>
              <w:pStyle w:val="Compact"/>
              <w:jc w:val="left"/>
            </w:pPr>
            <w:r>
              <w:t xml:space="preserve">1.1</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2020</w:t>
            </w:r>
          </w:p>
        </w:tc>
        <w:tc>
          <w:tcPr/>
          <w:p>
            <w:pPr>
              <w:pStyle w:val="Compact"/>
              <w:jc w:val="left"/>
            </w:pPr>
            <w:r>
              <w:t xml:space="preserve">189.7</w:t>
            </w:r>
          </w:p>
        </w:tc>
        <w:tc>
          <w:tcPr/>
          <w:p>
            <w:pPr>
              <w:pStyle w:val="Compact"/>
              <w:jc w:val="left"/>
            </w:pPr>
            <w:r>
              <w:t xml:space="preserve">1.35</w:t>
            </w:r>
          </w:p>
        </w:tc>
        <w:tc>
          <w:tcPr/>
          <w:p>
            <w:pPr>
              <w:pStyle w:val="Compact"/>
              <w:jc w:val="left"/>
            </w:pPr>
            <w:r>
              <w:t xml:space="preserve">1.95</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2021</w:t>
            </w:r>
          </w:p>
        </w:tc>
        <w:tc>
          <w:tcPr/>
          <w:p>
            <w:pPr>
              <w:pStyle w:val="Compact"/>
              <w:jc w:val="left"/>
            </w:pPr>
            <w:r>
              <w:t xml:space="preserve">163.4</w:t>
            </w:r>
          </w:p>
        </w:tc>
        <w:tc>
          <w:tcPr/>
          <w:p>
            <w:pPr>
              <w:pStyle w:val="Compact"/>
              <w:jc w:val="left"/>
            </w:pPr>
            <w:r>
              <w:t xml:space="preserve">2.72</w:t>
            </w:r>
          </w:p>
        </w:tc>
        <w:tc>
          <w:tcPr/>
          <w:p>
            <w:pPr>
              <w:pStyle w:val="Compact"/>
              <w:jc w:val="left"/>
            </w:pPr>
            <w:r>
              <w:t xml:space="preserve">0.29</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2022</w:t>
            </w:r>
          </w:p>
        </w:tc>
        <w:tc>
          <w:tcPr/>
          <w:p>
            <w:pPr>
              <w:pStyle w:val="Compact"/>
              <w:jc w:val="left"/>
            </w:pPr>
            <w:r>
              <w:t xml:space="preserve">134.1</w:t>
            </w:r>
          </w:p>
        </w:tc>
        <w:tc>
          <w:tcPr/>
          <w:p>
            <w:pPr>
              <w:pStyle w:val="Compact"/>
              <w:jc w:val="left"/>
            </w:pPr>
            <w:r>
              <w:t xml:space="preserve">6.13</w:t>
            </w:r>
          </w:p>
        </w:tc>
        <w:tc>
          <w:tcPr/>
          <w:p>
            <w:pPr>
              <w:pStyle w:val="Compact"/>
              <w:jc w:val="left"/>
            </w:pPr>
            <w:r>
              <w:t xml:space="preserve">0</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2023</w:t>
            </w:r>
          </w:p>
        </w:tc>
        <w:tc>
          <w:tcPr/>
          <w:p>
            <w:pPr>
              <w:pStyle w:val="Compact"/>
              <w:jc w:val="left"/>
            </w:pPr>
            <w:r>
              <w:t xml:space="preserve">116.2</w:t>
            </w:r>
          </w:p>
        </w:tc>
        <w:tc>
          <w:tcPr/>
          <w:p>
            <w:pPr>
              <w:pStyle w:val="Compact"/>
              <w:jc w:val="left"/>
            </w:pPr>
            <w:r>
              <w:t xml:space="preserve">2.31</w:t>
            </w:r>
          </w:p>
        </w:tc>
        <w:tc>
          <w:tcPr/>
          <w:p>
            <w:pPr>
              <w:pStyle w:val="Compact"/>
              <w:jc w:val="left"/>
            </w:pPr>
            <w:r>
              <w:t xml:space="preserve">0</w:t>
            </w:r>
          </w:p>
        </w:tc>
      </w:tr>
      <w:tr>
        <w:tc>
          <w:tcPr/>
          <w:p>
            <w:pPr>
              <w:pStyle w:val="Compact"/>
              <w:jc w:val="left"/>
            </w:pPr>
            <w:r>
              <w:t xml:space="preserve">25.1 gmacs</w:t>
            </w:r>
            <w:r>
              <w:t xml:space="preserve"> </w:t>
            </w:r>
            <w:r>
              <w:t xml:space="preserve">(update +</w:t>
            </w:r>
            <w:r>
              <w:t xml:space="preserve"> </w:t>
            </w:r>
            <w:r>
              <w:t xml:space="preserve">plus</w:t>
            </w:r>
            <w:r>
              <w:t xml:space="preserve"> </w:t>
            </w:r>
            <w:r>
              <w:t xml:space="preserve">group)</w:t>
            </w:r>
          </w:p>
        </w:tc>
        <w:tc>
          <w:tcPr/>
          <w:p>
            <w:pPr>
              <w:pStyle w:val="Compact"/>
              <w:jc w:val="left"/>
            </w:pPr>
            <w:r>
              <w:t xml:space="preserve">2024</w:t>
            </w:r>
          </w:p>
        </w:tc>
        <w:tc>
          <w:tcPr/>
          <w:p>
            <w:pPr>
              <w:pStyle w:val="Compact"/>
              <w:jc w:val="left"/>
            </w:pPr>
            <w:r>
              <w:t xml:space="preserve">137</w:t>
            </w:r>
          </w:p>
        </w:tc>
        <w:tc>
          <w:tcPr/>
          <w:p>
            <w:pPr>
              <w:pStyle w:val="Compact"/>
              <w:jc w:val="left"/>
            </w:pPr>
            <w:r>
              <w:t xml:space="preserve">2.13</w:t>
            </w:r>
          </w:p>
        </w:tc>
        <w:tc>
          <w:tcPr/>
          <w:p>
            <w:pPr>
              <w:pStyle w:val="Compact"/>
              <w:jc w:val="left"/>
            </w:pPr>
            <w:r>
              <w:t xml:space="preserve">0.25</w:t>
            </w:r>
          </w:p>
        </w:tc>
      </w:tr>
    </w:tbl>
    <w:p>
      <w:r>
        <w:br w:type="page"/>
      </w:r>
    </w:p>
    <w:p>
      <w:pPr>
        <w:pStyle w:val="SourceCode"/>
      </w:pPr>
      <w:r>
        <w:rPr>
          <w:rStyle w:val="VerbatimChar"/>
        </w:rPr>
        <w:t xml:space="preserve">## *Jitter OFL figure not yet generated; see `03_jittering_parallel.R` to produce `plots/jittered_ofl.png`.*</w:t>
      </w:r>
    </w:p>
    <w:p>
      <w:r>
        <w:br w:type="page"/>
      </w:r>
    </w:p>
    <w:p>
      <w:pPr>
        <w:pStyle w:val="SourceCode"/>
      </w:pPr>
      <w:r>
        <w:rPr>
          <w:rStyle w:val="VerbatimChar"/>
        </w:rPr>
        <w:t xml:space="preserve">## *Jitter recruitment figure not yet generated; see `03_jittering_parallel.R` to produce `plots/jitter_rec.png`.*</w:t>
      </w:r>
    </w:p>
    <w:p>
      <w:r>
        <w:br w:type="page"/>
      </w:r>
    </w:p>
    <w:p>
      <w:pPr>
        <w:pStyle w:val="FirstParagraph"/>
      </w:pPr>
      <w:r>
        <w:drawing>
          <wp:inline>
            <wp:extent cx="5334000" cy="5020235"/>
            <wp:effectExtent b="0" l="0" r="0" t="0"/>
            <wp:docPr descr="Model fits to the observed mature biomass at survey." title="" id="47" name="Picture"/>
            <a:graphic>
              <a:graphicData uri="http://schemas.openxmlformats.org/drawingml/2006/picture">
                <pic:pic>
                  <pic:nvPicPr>
                    <pic:cNvPr descr="SAFE_snow_gmacs_files/SAFE_snow_gmacs_files/figure-docx/unnamed-chunk-12-1.png" id="48" name="Picture"/>
                    <pic:cNvPicPr>
                      <a:picLocks noChangeArrowheads="1" noChangeAspect="1"/>
                    </pic:cNvPicPr>
                  </pic:nvPicPr>
                  <pic:blipFill>
                    <a:blip r:embed="rId46"/>
                    <a:stretch>
                      <a:fillRect/>
                    </a:stretch>
                  </pic:blipFill>
                  <pic:spPr bwMode="auto">
                    <a:xfrm>
                      <a:off x="0" y="0"/>
                      <a:ext cx="5334000" cy="5020235"/>
                    </a:xfrm>
                    <a:prstGeom prst="rect">
                      <a:avLst/>
                    </a:prstGeom>
                    <a:noFill/>
                    <a:ln w="9525">
                      <a:noFill/>
                      <a:headEnd/>
                      <a:tailEnd/>
                    </a:ln>
                  </pic:spPr>
                </pic:pic>
              </a:graphicData>
            </a:graphic>
          </wp:inline>
        </w:drawing>
      </w:r>
      <w:r>
        <w:t xml:space="preserve"> </w:t>
      </w:r>
      <w:r>
        <w:t xml:space="preserve"> </w:t>
      </w:r>
      <w:r>
        <w:t xml:space="preserve"> </w:t>
      </w:r>
    </w:p>
    <w:p>
      <w:pPr>
        <w:pStyle w:val="CaptionedFigure"/>
      </w:pPr>
      <w:r>
        <w:drawing>
          <wp:inline>
            <wp:extent cx="5334000" cy="4000500"/>
            <wp:effectExtent b="0" l="0" r="0" t="0"/>
            <wp:docPr descr="Model fits (colored lines) to the growth data (dots). Black dots are historical observations; red dots are new data for 2025." title="" id="50" name="Picture"/>
            <a:graphic>
              <a:graphicData uri="http://schemas.openxmlformats.org/drawingml/2006/picture">
                <pic:pic>
                  <pic:nvPicPr>
                    <pic:cNvPr descr="SAFE_snow_gmacs_files/SAFE_snow_gmacs_files/figure-docx/unnamed-chunk-13-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Model fits (colored lines) to the growth data (dots). Black dots are historical observations; red dots are new data for 2025.</w:t>
      </w:r>
    </w:p>
    <w:p>
      <w:r>
        <w:br w:type="page"/>
      </w:r>
    </w:p>
    <w:p>
      <w:pPr>
        <w:pStyle w:val="CaptionedFigure"/>
      </w:pPr>
      <w:r>
        <w:drawing>
          <wp:inline>
            <wp:extent cx="5334000" cy="5334000"/>
            <wp:effectExtent b="0" l="0" r="0" t="0"/>
            <wp:docPr descr="Model fits to catch data." title="" id="53" name="Picture"/>
            <a:graphic>
              <a:graphicData uri="http://schemas.openxmlformats.org/drawingml/2006/picture">
                <pic:pic>
                  <pic:nvPicPr>
                    <pic:cNvPr descr="SAFE_snow_gmacs_files/SAFE_snow_gmacs_files/figure-docx/unnamed-chunk-14-1.png" id="54" name="Picture"/>
                    <pic:cNvPicPr>
                      <a:picLocks noChangeArrowheads="1" noChangeAspect="1"/>
                    </pic:cNvPicPr>
                  </pic:nvPicPr>
                  <pic:blipFill>
                    <a:blip r:embed="rId52"/>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Model fits to catch data.</w:t>
      </w:r>
    </w:p>
    <w:p>
      <w:r>
        <w:br w:type="page"/>
      </w:r>
    </w:p>
    <w:p>
      <w:pPr>
        <w:pStyle w:val="SourceCode"/>
      </w:pPr>
      <w:r>
        <w:rPr>
          <w:rStyle w:val="VerbatimChar"/>
        </w:rPr>
        <w:t xml:space="preserve">## ![Model fits (lines) to size composition data (grey bars): NMFS Trawl 1982 female discarded immature New maturity.](plots/size_comp_plot_1_NMFS_Trawl_1982_female_discarded_immature_New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NMFS Trawl 1982 female discarded mature New maturity.](plots/size_comp_plot_2_NMFS_Trawl_1982_female_discarded_mature_New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NMFS Trawl 1982 male discarded immature New maturity.](plots/size_comp_plot_3_NMFS_Trawl_1982_male_discarded_immature_New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NMFS Trawl 1982 male discarded mature New maturity.](plots/size_comp_plot_4_NMFS_Trawl_1982_male_discarded_mature_New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NMFS Trawl 1982 female discarded immature Old maturity.](plots/size_comp_plot_5_NMFS_Trawl_1982_female_discarded_immature_Old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NMFS Trawl 1982 female discarded mature Old maturity.](plots/size_comp_plot_6_NMFS_Trawl_1982_female_discarded_mature_Old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NMFS Trawl 1982 male discarded immature Old maturity.](plots/size_comp_plot_7_NMFS_Trawl_1982_male_discarded_immature_Old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NMFS Trawl 1982 male discarded mature Old maturity.](plots/size_comp_plot_8_NMFS_Trawl_1982_male_discarded_mature_Old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NMFS Trawl 1982 hybrid female discarded immature New maturity.](plots/size_comp_plot_9_NMFS_Trawl_1982_hybrid_female_discarded_immature_New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NMFS Trawl 1982 hybrid female discarded mature New maturity.](plots/size_comp_plot_10_NMFS_Trawl_1982_hybrid_female_discarded_mature_New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NMFS Trawl 1982 hybrid male discarded immature New maturity.](plots/size_comp_plot_11_NMFS_Trawl_1982_hybrid_male_discarded_immature_New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NMFS Trawl 1982 hybrid male discarded mature New maturity.](plots/size_comp_plot_12_NMFS_Trawl_1982_hybrid_male_discarded_mature_New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NMFS Trawl 1982 hybrid female discarded immature Old maturity.](plots/size_comp_plot_13_NMFS_Trawl_1982_hybrid_female_discarded_immature_Old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NMFS Trawl 1982 hybrid female discarded mature Old maturity.](plots/size_comp_plot_14_NMFS_Trawl_1982_hybrid_female_discarded_mature_Old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NMFS Trawl 1982 hybrid male discarded immature Old maturity.](plots/size_comp_plot_15_NMFS_Trawl_1982_hybrid_male_discarded_immature_Old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NMFS Trawl 1982 hybrid male discarded mature Old maturity.](plots/size_comp_plot_16_NMFS_Trawl_1982_hybrid_male_discarded_mature_Old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NMFS Trawl 1989 female discarded immature New maturity.](plots/size_comp_plot_17_NMFS_Trawl_1989_female_discarded_immature_New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NMFS Trawl 1989 female discarded mature New maturity.](plots/size_comp_plot_18_NMFS_Trawl_1989_female_discarded_mature_New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NMFS Trawl 1989 male discarded immature New maturity.](plots/size_comp_plot_19_NMFS_Trawl_1989_male_discarded_immature_New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NMFS Trawl 1989 male discarded mature New maturity.](plots/size_comp_plot_20_NMFS_Trawl_1989_male_discarded_mature_New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NMFS Trawl 1989 female discarded immature Old maturity.](plots/size_comp_plot_21_NMFS_Trawl_1989_female_discarded_immature_Old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NMFS Trawl 1989 female discarded mature Old maturity.](plots/size_comp_plot_22_NMFS_Trawl_1989_female_discarded_mature_Old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NMFS Trawl 1989 male discarded immature Old maturity.](plots/size_comp_plot_23_NMFS_Trawl_1989_male_discarded_immature_Old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NMFS Trawl 1989 male discarded mature Old maturity.](plots/size_comp_plot_24_NMFS_Trawl_1989_male_discarded_mature_Old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NMFS Trawl 1989 hybrid female discarded immature New maturity.](plots/size_comp_plot_25_NMFS_Trawl_1989_hybrid_female_discarded_immature_New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NMFS Trawl 1989 hybrid female discarded mature New maturity.](plots/size_comp_plot_26_NMFS_Trawl_1989_hybrid_female_discarded_mature_New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NMFS Trawl 1989 hybrid male discarded immature New maturity.](plots/size_comp_plot_27_NMFS_Trawl_1989_hybrid_male_discarded_immature_New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NMFS Trawl 1989 hybrid male discarded mature New maturity.](plots/size_comp_plot_28_NMFS_Trawl_1989_hybrid_male_discarded_mature_New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NMFS Trawl 1989 hybrid female discarded immature Old maturity.](plots/size_comp_plot_29_NMFS_Trawl_1989_hybrid_female_discarded_immature_Old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NMFS Trawl 1989 hybrid female discarded mature Old maturity.](plots/size_comp_plot_30_NMFS_Trawl_1989_hybrid_female_discarded_mature_Old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NMFS Trawl 1989 hybrid male discarded immature Old maturity.](plots/size_comp_plot_31_NMFS_Trawl_1989_hybrid_male_discarded_immature_Old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NMFS Trawl 1989 hybrid male discarded mature Old maturity.](plots/size_comp_plot_32_NMFS_Trawl_1989_hybrid_male_discarded_mature_Old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Pot Fishery female discarded undetermined New maturity.](plots/size_comp_plot_33_Pot_Fishery_female_discarded_undetermined_New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Pot Fishery male retained undetermined New maturity.](plots/size_comp_plot_34_Pot_Fishery_male_retained_undetermined_New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Pot Fishery male total undetermined New maturity.](plots/size_comp_plot_35_Pot_Fishery_male_total_undetermined_New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Pot Fishery female discarded undetermined Old maturity.](plots/size_comp_plot_36_Pot_Fishery_female_discarded_undetermined_Old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Pot Fishery male retained undetermined Old maturity.](plots/size_comp_plot_37_Pot_Fishery_male_retained_undetermined_Old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Pot Fishery male total undetermined Old maturity.](plots/size_comp_plot_38_Pot_Fishery_male_total_undetermined_Old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Pot fishery compfix female discarded undetermined New maturity.](plots/size_comp_plot_39_Pot_fishery_compfix_female_discarded_undetermined_New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Pot fishery compfix male retained undetermined New maturity.](plots/size_comp_plot_40_Pot_fishery_compfix_male_retained_undetermined_New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Pot fishery compfix male total undetermined New maturity.](plots/size_comp_plot_41_Pot_fishery_compfix_male_total_undetermined_New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Pot fishery compfix female discarded undetermined Old maturity.](plots/size_comp_plot_42_Pot_fishery_compfix_female_discarded_undetermined_Old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Pot fishery compfix male retained undetermined Old maturity.](plots/size_comp_plot_43_Pot_fishery_compfix_male_retained_undetermined_Old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Pot fishery compfix male total undetermined Old maturity.](plots/size_comp_plot_44_Pot_fishery_compfix_male_total_undetermined_Old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Pot fishery hybrid female discarded undetermined New maturity.](plots/size_comp_plot_45_Pot_fishery_hybrid_female_discarded_undetermined_New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Pot fishery hybrid male retained undetermined New maturity.](plots/size_comp_plot_46_Pot_fishery_hybrid_male_retained_undetermined_New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Pot fishery hybrid male total undetermined New maturity.](plots/size_comp_plot_47_Pot_fishery_hybrid_male_total_undetermined_New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Pot fishery hybrid female discarded undetermined Old maturity.](plots/size_comp_plot_48_Pot_fishery_hybrid_female_discarded_undetermined_Old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Pot fishery hybrid male retained undetermined Old maturity.](plots/size_comp_plot_49_Pot_fishery_hybrid_male_retained_undetermined_Old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Pot fishery hybrid male total undetermined Old maturity.](plots/size_comp_plot_50_Pot_fishery_hybrid_male_total_undetermined_Old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Pot fishery plus group female discarded undetermined New maturity.](plots/size_comp_plot_51_Pot_fishery_plus_group_female_discarded_undetermined_New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Pot fishery plus group male retained undetermined New maturity.](plots/size_comp_plot_52_Pot_fishery_plus_group_male_retained_undetermined_New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Pot fishery plus group male total undetermined New maturity.](plots/size_comp_plot_53_Pot_fishery_plus_group_male_total_undetermined_New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Pot fishery plus group female discarded undetermined Old maturity.](plots/size_comp_plot_54_Pot_fishery_plus_group_female_discarded_undetermined_Old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Pot fishery plus group male retained undetermined Old maturity.](plots/size_comp_plot_55_Pot_fishery_plus_group_male_retained_undetermined_Old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Pot fishery plus group male total undetermined Old maturity.](plots/size_comp_plot_56_Pot_fishery_plus_group_male_total_undetermined_Old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Trawl Bycatch female discarded undetermined New maturity.](plots/size_comp_plot_57_Trawl_Bycatch_female_discarded_undetermined_New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Trawl Bycatch male discarded undetermined New maturity.](plots/size_comp_plot_58_Trawl_Bycatch_male_discarded_undetermined_New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Trawl Bycatch female discarded undetermined Old maturity.](plots/size_comp_plot_59_Trawl_Bycatch_female_discarded_undetermined_Old maturity.png)</w:t>
      </w:r>
      <w:r>
        <w:br/>
      </w:r>
      <w:r>
        <w:rPr>
          <w:rStyle w:val="VerbatimChar"/>
        </w:rPr>
        <w:t xml:space="preserve">## </w:t>
      </w:r>
      <w:r>
        <w:br/>
      </w:r>
      <w:r>
        <w:rPr>
          <w:rStyle w:val="VerbatimChar"/>
        </w:rPr>
        <w:t xml:space="preserve">## \newpage </w:t>
      </w:r>
      <w:r>
        <w:br/>
      </w:r>
      <w:r>
        <w:rPr>
          <w:rStyle w:val="VerbatimChar"/>
        </w:rPr>
        <w:t xml:space="preserve">## ![Model fits (lines) to size composition data (grey bars): Trawl Bycatch male discarded undetermined Old maturity.](plots/size_comp_plot_60_Trawl_Bycatch_male_discarded_undetermined_Old maturity.png)</w:t>
      </w:r>
      <w:r>
        <w:br/>
      </w:r>
      <w:r>
        <w:rPr>
          <w:rStyle w:val="VerbatimChar"/>
        </w:rPr>
        <w:t xml:space="preserve">## </w:t>
      </w:r>
      <w:r>
        <w:br/>
      </w:r>
      <w:r>
        <w:rPr>
          <w:rStyle w:val="VerbatimChar"/>
        </w:rPr>
        <w:t xml:space="preserve">## \newpage</w:t>
      </w:r>
    </w:p>
    <w:p>
      <w:r>
        <w:br w:type="page"/>
      </w:r>
    </w:p>
    <w:p>
      <w:pPr>
        <w:pStyle w:val="CaptionedFigure"/>
      </w:pPr>
      <w:r>
        <w:drawing>
          <wp:inline>
            <wp:extent cx="5334000" cy="4267200"/>
            <wp:effectExtent b="0" l="0" r="0" t="0"/>
            <wp:docPr descr="Estimated biomass of male crab &gt;101mm carapace width from the survey (black line and dots with gray 95th CI) and from each model in the assessment (colored lines)." title="" id="56" name="Picture"/>
            <a:graphic>
              <a:graphicData uri="http://schemas.openxmlformats.org/drawingml/2006/picture">
                <pic:pic>
                  <pic:nvPicPr>
                    <pic:cNvPr descr="SAFE_snow_gmacs_files/SAFE_snow_gmacs_files/figure-docx/unnamed-chunk-16-1.png" id="57" name="Picture"/>
                    <pic:cNvPicPr>
                      <a:picLocks noChangeArrowheads="1" noChangeAspect="1"/>
                    </pic:cNvPicPr>
                  </pic:nvPicPr>
                  <pic:blipFill>
                    <a:blip r:embed="rId55"/>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Estimated biomass of male crab &gt;101mm carapace width from the survey (black line and dots with gray 95th CI) and from each model in the assessment (colored lines).</w:t>
      </w:r>
    </w:p>
    <w:p>
      <w:r>
        <w:br w:type="page"/>
      </w:r>
    </w:p>
    <w:p>
      <w:pPr>
        <w:pStyle w:val="CaptionedFigure"/>
      </w:pPr>
      <w:r>
        <w:drawing>
          <wp:inline>
            <wp:extent cx="5334000" cy="7620000"/>
            <wp:effectExtent b="0" l="0" r="0" t="0"/>
            <wp:docPr descr="Estimated survey selectivity (lines) with normal priors derived from BSFRF selectivity experiment data. Points are the mean of the prior at a given size; intervals are 95th quantiles based on input CVs." title="" id="59" name="Picture"/>
            <a:graphic>
              <a:graphicData uri="http://schemas.openxmlformats.org/drawingml/2006/picture">
                <pic:pic>
                  <pic:nvPicPr>
                    <pic:cNvPr descr="SAFE_snow_gmacs_files/SAFE_snow_gmacs_files/figure-docx/unnamed-chunk-17-1.png" id="60" name="Picture"/>
                    <pic:cNvPicPr>
                      <a:picLocks noChangeArrowheads="1" noChangeAspect="1"/>
                    </pic:cNvPicPr>
                  </pic:nvPicPr>
                  <pic:blipFill>
                    <a:blip r:embed="rId58"/>
                    <a:stretch>
                      <a:fillRect/>
                    </a:stretch>
                  </pic:blipFill>
                  <pic:spPr bwMode="auto">
                    <a:xfrm>
                      <a:off x="0" y="0"/>
                      <a:ext cx="5334000" cy="7620000"/>
                    </a:xfrm>
                    <a:prstGeom prst="rect">
                      <a:avLst/>
                    </a:prstGeom>
                    <a:noFill/>
                    <a:ln w="9525">
                      <a:noFill/>
                      <a:headEnd/>
                      <a:tailEnd/>
                    </a:ln>
                  </pic:spPr>
                </pic:pic>
              </a:graphicData>
            </a:graphic>
          </wp:inline>
        </w:drawing>
      </w:r>
    </w:p>
    <w:p>
      <w:pPr>
        <w:pStyle w:val="ImageCaption"/>
      </w:pPr>
      <w:r>
        <w:t xml:space="preserve">Estimated survey selectivity (lines) with normal priors derived from BSFRF selectivity experiment data. Points are the mean of the prior at a given size; intervals are 95th quantiles based on input CVs.</w:t>
      </w:r>
    </w:p>
    <w:p>
      <w:r>
        <w:br w:type="page"/>
      </w:r>
    </w:p>
    <w:p>
      <w:pPr>
        <w:pStyle w:val="CaptionedFigure"/>
      </w:pPr>
      <w:r>
        <w:drawing>
          <wp:inline>
            <wp:extent cx="5334000" cy="5334000"/>
            <wp:effectExtent b="0" l="0" r="0" t="0"/>
            <wp:docPr descr="Estimated selectivities by fishing fleet and sex for capture and retained catches." title="" id="62" name="Picture"/>
            <a:graphic>
              <a:graphicData uri="http://schemas.openxmlformats.org/drawingml/2006/picture">
                <pic:pic>
                  <pic:nvPicPr>
                    <pic:cNvPr descr="SAFE_snow_gmacs_files/SAFE_snow_gmacs_files/figure-docx/unnamed-chunk-18-1.png" id="63" name="Picture"/>
                    <pic:cNvPicPr>
                      <a:picLocks noChangeArrowheads="1" noChangeAspect="1"/>
                    </pic:cNvPicPr>
                  </pic:nvPicPr>
                  <pic:blipFill>
                    <a:blip r:embed="rId61"/>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Estimated selectivities by fishing fleet and sex for capture and retained catches.</w:t>
      </w:r>
    </w:p>
    <w:p>
      <w:r>
        <w:br w:type="page"/>
      </w:r>
    </w:p>
    <w:p>
      <w:pPr>
        <w:pStyle w:val="CaptionedFigure"/>
      </w:pPr>
      <w:r>
        <w:drawing>
          <wp:inline>
            <wp:extent cx="5334000" cy="6667500"/>
            <wp:effectExtent b="0" l="0" r="0" t="0"/>
            <wp:docPr descr="Estimated fishing mortalities for the directed and non-directed fisheries." title="" id="65" name="Picture"/>
            <a:graphic>
              <a:graphicData uri="http://schemas.openxmlformats.org/drawingml/2006/picture">
                <pic:pic>
                  <pic:nvPicPr>
                    <pic:cNvPr descr="SAFE_snow_gmacs_files/SAFE_snow_gmacs_files/figure-docx/unnamed-chunk-19-1.png" id="66" name="Picture"/>
                    <pic:cNvPicPr>
                      <a:picLocks noChangeArrowheads="1" noChangeAspect="1"/>
                    </pic:cNvPicPr>
                  </pic:nvPicPr>
                  <pic:blipFill>
                    <a:blip r:embed="rId64"/>
                    <a:stretch>
                      <a:fillRect/>
                    </a:stretch>
                  </pic:blipFill>
                  <pic:spPr bwMode="auto">
                    <a:xfrm>
                      <a:off x="0" y="0"/>
                      <a:ext cx="5334000" cy="6667500"/>
                    </a:xfrm>
                    <a:prstGeom prst="rect">
                      <a:avLst/>
                    </a:prstGeom>
                    <a:noFill/>
                    <a:ln w="9525">
                      <a:noFill/>
                      <a:headEnd/>
                      <a:tailEnd/>
                    </a:ln>
                  </pic:spPr>
                </pic:pic>
              </a:graphicData>
            </a:graphic>
          </wp:inline>
        </w:drawing>
      </w:r>
    </w:p>
    <w:p>
      <w:pPr>
        <w:pStyle w:val="ImageCaption"/>
      </w:pPr>
      <w:r>
        <w:t xml:space="preserve">Estimated fishing mortalities for the directed and non-directed fisheries.</w:t>
      </w:r>
    </w:p>
    <w:p>
      <w:r>
        <w:br w:type="page"/>
      </w:r>
    </w:p>
    <w:p>
      <w:pPr>
        <w:pStyle w:val="CaptionedFigure"/>
      </w:pPr>
      <w:r>
        <w:drawing>
          <wp:inline>
            <wp:extent cx="5334000" cy="6667500"/>
            <wp:effectExtent b="0" l="0" r="0" t="0"/>
            <wp:docPr descr="Estimated (black line) or specified (colored lines) probability(s) of maturing for male crab." title="" id="68" name="Picture"/>
            <a:graphic>
              <a:graphicData uri="http://schemas.openxmlformats.org/drawingml/2006/picture">
                <pic:pic>
                  <pic:nvPicPr>
                    <pic:cNvPr descr="SAFE_snow_gmacs_files/SAFE_snow_gmacs_files/figure-docx/unnamed-chunk-20-1.png" id="69" name="Picture"/>
                    <pic:cNvPicPr>
                      <a:picLocks noChangeArrowheads="1" noChangeAspect="1"/>
                    </pic:cNvPicPr>
                  </pic:nvPicPr>
                  <pic:blipFill>
                    <a:blip r:embed="rId67"/>
                    <a:stretch>
                      <a:fillRect/>
                    </a:stretch>
                  </pic:blipFill>
                  <pic:spPr bwMode="auto">
                    <a:xfrm>
                      <a:off x="0" y="0"/>
                      <a:ext cx="5334000" cy="6667500"/>
                    </a:xfrm>
                    <a:prstGeom prst="rect">
                      <a:avLst/>
                    </a:prstGeom>
                    <a:noFill/>
                    <a:ln w="9525">
                      <a:noFill/>
                      <a:headEnd/>
                      <a:tailEnd/>
                    </a:ln>
                  </pic:spPr>
                </pic:pic>
              </a:graphicData>
            </a:graphic>
          </wp:inline>
        </w:drawing>
      </w:r>
    </w:p>
    <w:p>
      <w:pPr>
        <w:pStyle w:val="ImageCaption"/>
      </w:pPr>
      <w:r>
        <w:t xml:space="preserve">Estimated (black line) or specified (colored lines) probability(s) of maturing for male crab.</w:t>
      </w:r>
    </w:p>
    <w:p>
      <w:r>
        <w:br w:type="page"/>
      </w:r>
    </w:p>
    <w:p>
      <w:pPr>
        <w:pStyle w:val="CaptionedFigure"/>
      </w:pPr>
      <w:r>
        <w:drawing>
          <wp:inline>
            <wp:extent cx="5334000" cy="6667500"/>
            <wp:effectExtent b="0" l="0" r="0" t="0"/>
            <wp:docPr descr="Estimated recruitment by sex (bottom) and proportions recruiting to length bin (top) by model." title="" id="71" name="Picture"/>
            <a:graphic>
              <a:graphicData uri="http://schemas.openxmlformats.org/drawingml/2006/picture">
                <pic:pic>
                  <pic:nvPicPr>
                    <pic:cNvPr descr="SAFE_snow_gmacs_files/SAFE_snow_gmacs_files/figure-docx/unnamed-chunk-21-1.png" id="72" name="Picture"/>
                    <pic:cNvPicPr>
                      <a:picLocks noChangeArrowheads="1" noChangeAspect="1"/>
                    </pic:cNvPicPr>
                  </pic:nvPicPr>
                  <pic:blipFill>
                    <a:blip r:embed="rId70"/>
                    <a:stretch>
                      <a:fillRect/>
                    </a:stretch>
                  </pic:blipFill>
                  <pic:spPr bwMode="auto">
                    <a:xfrm>
                      <a:off x="0" y="0"/>
                      <a:ext cx="5334000" cy="6667500"/>
                    </a:xfrm>
                    <a:prstGeom prst="rect">
                      <a:avLst/>
                    </a:prstGeom>
                    <a:noFill/>
                    <a:ln w="9525">
                      <a:noFill/>
                      <a:headEnd/>
                      <a:tailEnd/>
                    </a:ln>
                  </pic:spPr>
                </pic:pic>
              </a:graphicData>
            </a:graphic>
          </wp:inline>
        </w:drawing>
      </w:r>
    </w:p>
    <w:p>
      <w:pPr>
        <w:pStyle w:val="ImageCaption"/>
      </w:pPr>
      <w:r>
        <w:t xml:space="preserve">Estimated recruitment by sex (bottom) and proportions recruiting to length bin (top) by model.</w:t>
      </w:r>
    </w:p>
    <w:p>
      <w:r>
        <w:br w:type="page"/>
      </w:r>
    </w:p>
    <w:p>
      <w:pPr>
        <w:pStyle w:val="CaptionedFigure"/>
      </w:pPr>
      <w:r>
        <w:drawing>
          <wp:inline>
            <wp:extent cx="5334000" cy="6667500"/>
            <wp:effectExtent b="0" l="0" r="0" t="0"/>
            <wp:docPr descr="Estimated natural mortality by sex and maturity state. Natural mortality in all years previous to 2018 and after 2019 are equal to the estimated M in 2017." title="" id="74" name="Picture"/>
            <a:graphic>
              <a:graphicData uri="http://schemas.openxmlformats.org/drawingml/2006/picture">
                <pic:pic>
                  <pic:nvPicPr>
                    <pic:cNvPr descr="SAFE_snow_gmacs_files/SAFE_snow_gmacs_files/figure-docx/unnamed-chunk-22-1.png" id="75" name="Picture"/>
                    <pic:cNvPicPr>
                      <a:picLocks noChangeArrowheads="1" noChangeAspect="1"/>
                    </pic:cNvPicPr>
                  </pic:nvPicPr>
                  <pic:blipFill>
                    <a:blip r:embed="rId73"/>
                    <a:stretch>
                      <a:fillRect/>
                    </a:stretch>
                  </pic:blipFill>
                  <pic:spPr bwMode="auto">
                    <a:xfrm>
                      <a:off x="0" y="0"/>
                      <a:ext cx="5334000" cy="6667500"/>
                    </a:xfrm>
                    <a:prstGeom prst="rect">
                      <a:avLst/>
                    </a:prstGeom>
                    <a:noFill/>
                    <a:ln w="9525">
                      <a:noFill/>
                      <a:headEnd/>
                      <a:tailEnd/>
                    </a:ln>
                  </pic:spPr>
                </pic:pic>
              </a:graphicData>
            </a:graphic>
          </wp:inline>
        </w:drawing>
      </w:r>
    </w:p>
    <w:p>
      <w:pPr>
        <w:pStyle w:val="ImageCaption"/>
      </w:pPr>
      <w:r>
        <w:t xml:space="preserve">Estimated natural mortality by sex and maturity state. Natural mortality in all years previous to 2018 and after 2019 are equal to the estimated M in 2017.</w:t>
      </w:r>
    </w:p>
    <w:p>
      <w:r>
        <w:br w:type="page"/>
      </w:r>
    </w:p>
    <w:p>
      <w:pPr>
        <w:pStyle w:val="CaptionedFigure"/>
      </w:pPr>
      <w:r>
        <w:drawing>
          <wp:inline>
            <wp:extent cx="5334000" cy="5334000"/>
            <wp:effectExtent b="0" l="0" r="0" t="0"/>
            <wp:docPr descr="Model predicted mature male biomass at mating time in 1,000 tonnes. Dashed horizontal lines are half of the respective BMSY proxies based on B35% of a given management currency (i.e. MSST)." title="" id="77" name="Picture"/>
            <a:graphic>
              <a:graphicData uri="http://schemas.openxmlformats.org/drawingml/2006/picture">
                <pic:pic>
                  <pic:nvPicPr>
                    <pic:cNvPr descr="SAFE_snow_gmacs_files/SAFE_snow_gmacs_files/figure-docx/unnamed-chunk-23-1.png" id="78" name="Picture"/>
                    <pic:cNvPicPr>
                      <a:picLocks noChangeArrowheads="1" noChangeAspect="1"/>
                    </pic:cNvPicPr>
                  </pic:nvPicPr>
                  <pic:blipFill>
                    <a:blip r:embed="rId76"/>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Model predicted mature male biomass at mating time in 1,000 tonnes. Dashed horizontal lines are half of the respective BMSY proxies based on B35% of a given management currency (i.e. MSST).</w:t>
      </w:r>
    </w:p>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hyperlink" Id="rId45" Target="Doi:10.4027/bmecppc.2010.19" TargetMode="External" /><Relationship Type="http://schemas.openxmlformats.org/officeDocument/2006/relationships/hyperlink" Id="rId43" Target="https://github.com/GMACS-project" TargetMode="External" /><Relationship Type="http://schemas.openxmlformats.org/officeDocument/2006/relationships/hyperlink" Id="rId42" Target="https://github.com/eryznar/Chionoecetes.maturity.workflow" TargetMode="External" /><Relationship Type="http://schemas.openxmlformats.org/officeDocument/2006/relationships/hyperlink" Id="rId41" Target="https://github.com/szuwalski/snow_crab/tree/dev-Grant" TargetMode="External" /></Relationships>
</file>

<file path=word/_rels/footnotes.xml.rels><?xml version="1.0" encoding="UTF-8"?><Relationships xmlns="http://schemas.openxmlformats.org/package/2006/relationships"><Relationship Type="http://schemas.openxmlformats.org/officeDocument/2006/relationships/hyperlink" Id="rId45" Target="Doi:10.4027/bmecppc.2010.19" TargetMode="External" /><Relationship Type="http://schemas.openxmlformats.org/officeDocument/2006/relationships/hyperlink" Id="rId43" Target="https://github.com/GMACS-project" TargetMode="External" /><Relationship Type="http://schemas.openxmlformats.org/officeDocument/2006/relationships/hyperlink" Id="rId42" Target="https://github.com/eryznar/Chionoecetes.maturity.workflow" TargetMode="External" /><Relationship Type="http://schemas.openxmlformats.org/officeDocument/2006/relationships/hyperlink" Id="rId41" Target="https://github.com/szuwalski/snow_crab/tree/dev-Gra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Preliminary 2026 assessment for eastern Bering Sea snow crab</dc:title>
  <dc:creator>Grant Adams</dc:creator>
  <cp:keywords/>
  <dcterms:created xsi:type="dcterms:W3CDTF">2026-04-25T02:33:26Z</dcterms:created>
  <dcterms:modified xsi:type="dcterms:W3CDTF">2026-04-25T02:33:26Z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fish-and-fisheries.csl</vt:lpwstr>
  </property>
  <property fmtid="{D5CDD505-2E9C-101B-9397-08002B2CF9AE}" pid="3" name="date">
    <vt:lpwstr>May 2026</vt:lpwstr>
  </property>
  <property fmtid="{D5CDD505-2E9C-101B-9397-08002B2CF9AE}" pid="4" name="header-includes">
    <vt:lpwstr/>
  </property>
  <property fmtid="{D5CDD505-2E9C-101B-9397-08002B2CF9AE}" pid="5" name="number_sections">
    <vt:lpwstr>True</vt:lpwstr>
  </property>
  <property fmtid="{D5CDD505-2E9C-101B-9397-08002B2CF9AE}" pid="6" name="output">
    <vt:lpwstr/>
  </property>
  <property fmtid="{D5CDD505-2E9C-101B-9397-08002B2CF9AE}" pid="7" name="toc">
    <vt:lpwstr>True</vt:lpwstr>
  </property>
</Properties>
</file>