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Analiza sinusoidalnych sygnałów</w:t>
      </w:r>
    </w:p>
    <w:p>
      <w:pPr>
        <w:pStyle w:val="Heading2"/>
      </w:pPr>
      <w:r>
        <w:t>Plik SOUND_SIN/sin_60Hz.wav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43.219 dB dla częstotliwości 0.000 Hz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64.006 dB dla częstotliwości 58.594 Hz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85.613 dB dla częstotliwości 60.059 Hz</w:t>
      </w:r>
    </w:p>
    <w:p>
      <w:pPr>
        <w:pStyle w:val="Heading2"/>
      </w:pPr>
      <w:r>
        <w:t>Plik SOUND_SIN/sin_440Hz.wav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38.789 dB dla częstotliwości 375.000 Hz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61.073 dB dla częstotliwości 445.312 Hz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85.167 dB dla częstotliwości 440.186 Hz</w:t>
      </w:r>
    </w:p>
    <w:p>
      <w:pPr>
        <w:pStyle w:val="Heading2"/>
      </w:pPr>
      <w:r>
        <w:t>Plik SOUND_SIN/sin_8000Hz.wav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38.515 dB dla częstotliwości 8062.500 Hz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62.636 dB dla częstotliwości 8003.906 Hz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Największa amplituda: 84.797 dB dla częstotliwości 8000.244 Hz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