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5E10D">
      <w:pPr>
        <w:spacing w:after="160"/>
        <w:jc w:val="center"/>
      </w:pPr>
      <w:r>
        <w:rPr>
          <w:rFonts w:ascii="Times New Roman" w:hAnsi="Times New Roman" w:eastAsia="黑体"/>
          <w:b/>
          <w:color w:val="1F2937"/>
          <w:sz w:val="36"/>
        </w:rPr>
        <w:t>ICML 2026 可验证格式规则</w:t>
      </w:r>
    </w:p>
    <w:p w14:paraId="190CF340">
      <w:pPr>
        <w:spacing w:after="320"/>
        <w:jc w:val="center"/>
      </w:pPr>
      <w:r>
        <w:rPr>
          <w:rFonts w:ascii="Times New Roman" w:hAnsi="Times New Roman" w:eastAsia="等线"/>
          <w:color w:val="4B5563"/>
          <w:sz w:val="20"/>
        </w:rPr>
        <w:t>基于 MinerU 与 PyMuPDF 融合事实 JSON 的确定性检查版本</w:t>
      </w:r>
    </w:p>
    <w:p w14:paraId="2BA8FA58">
      <w:pPr>
        <w:keepNext/>
        <w:spacing w:before="240" w:after="80"/>
      </w:pPr>
      <w:r>
        <w:rPr>
          <w:rFonts w:ascii="Times New Roman" w:hAnsi="Times New Roman" w:eastAsia="黑体"/>
          <w:b/>
          <w:color w:val="111827"/>
          <w:sz w:val="26"/>
        </w:rPr>
        <w:t>1. 页面尺寸与正文</w:t>
      </w:r>
    </w:p>
    <w:p w14:paraId="191A6FFA">
      <w:pPr>
        <w:pStyle w:val="16"/>
        <w:spacing w:after="40" w:line="276" w:lineRule="auto"/>
      </w:pPr>
      <w:r>
        <w:rPr>
          <w:rFonts w:ascii="Times New Roman" w:hAnsi="Times New Roman" w:eastAsia="宋体"/>
          <w:sz w:val="21"/>
        </w:rPr>
        <w:t>正文区域必须采用双栏布局。</w:t>
      </w:r>
    </w:p>
    <w:p w14:paraId="4E2333E6">
      <w:pPr>
        <w:pStyle w:val="16"/>
        <w:spacing w:after="40" w:line="276" w:lineRule="auto"/>
      </w:pPr>
      <w:r>
        <w:rPr>
          <w:rFonts w:ascii="Times New Roman" w:hAnsi="Times New Roman" w:eastAsia="宋体"/>
          <w:sz w:val="21"/>
        </w:rPr>
        <w:t>正文双栏区域总宽度：486 ± 2 pt。</w:t>
      </w:r>
    </w:p>
    <w:p w14:paraId="3318E736">
      <w:pPr>
        <w:pStyle w:val="16"/>
        <w:spacing w:after="40" w:line="276" w:lineRule="auto"/>
      </w:pPr>
      <w:r>
        <w:rPr>
          <w:rFonts w:ascii="Times New Roman" w:hAnsi="Times New Roman" w:eastAsia="宋体"/>
          <w:sz w:val="21"/>
        </w:rPr>
        <w:t>正文左栏起点横坐标：55.44 ± 2 pt。</w:t>
      </w:r>
    </w:p>
    <w:p w14:paraId="68A00316">
      <w:pPr>
        <w:pStyle w:val="16"/>
        <w:spacing w:after="40" w:line="276" w:lineRule="auto"/>
      </w:pPr>
      <w:r>
        <w:rPr>
          <w:rFonts w:ascii="Times New Roman" w:hAnsi="Times New Roman" w:eastAsia="宋体"/>
          <w:sz w:val="21"/>
        </w:rPr>
        <w:t>正文右栏起点横坐标：307.44 ± 2 pt。</w:t>
      </w:r>
    </w:p>
    <w:p w14:paraId="33F99B2F">
      <w:pPr>
        <w:pStyle w:val="16"/>
        <w:spacing w:after="40" w:line="276" w:lineRule="auto"/>
      </w:pPr>
      <w:r>
        <w:rPr>
          <w:rFonts w:ascii="Times New Roman" w:hAnsi="Times New Roman" w:eastAsia="宋体"/>
          <w:sz w:val="21"/>
        </w:rPr>
        <w:t>正文单栏宽度：234 ± 2 pt。</w:t>
      </w:r>
    </w:p>
    <w:p w14:paraId="3A3FD12B">
      <w:pPr>
        <w:pStyle w:val="16"/>
        <w:spacing w:after="40" w:line="276" w:lineRule="auto"/>
      </w:pPr>
      <w:r>
        <w:rPr>
          <w:rFonts w:ascii="Times New Roman" w:hAnsi="Times New Roman" w:eastAsia="宋体"/>
          <w:sz w:val="21"/>
        </w:rPr>
        <w:t>正文双栏的栏间距：18 ± 2 pt。</w:t>
      </w:r>
    </w:p>
    <w:p w14:paraId="511CE140">
      <w:pPr>
        <w:pStyle w:val="16"/>
        <w:spacing w:after="40" w:line="276" w:lineRule="auto"/>
      </w:pPr>
      <w:r>
        <w:rPr>
          <w:rFonts w:ascii="Times New Roman" w:hAnsi="Times New Roman" w:eastAsia="宋体"/>
          <w:sz w:val="21"/>
        </w:rPr>
        <w:t>正文字号众数：9.5–10.5 pt。</w:t>
      </w:r>
    </w:p>
    <w:p w14:paraId="1A45EFC0">
      <w:pPr>
        <w:pStyle w:val="16"/>
        <w:spacing w:after="40" w:line="276" w:lineRule="auto"/>
      </w:pPr>
      <w:r>
        <w:rPr>
          <w:rFonts w:ascii="Times New Roman" w:hAnsi="Times New Roman" w:eastAsia="宋体"/>
          <w:sz w:val="21"/>
        </w:rPr>
        <w:t>正文基线间距中位数：11–12.5 pt。</w:t>
      </w:r>
    </w:p>
    <w:p w14:paraId="124E6B00">
      <w:pPr>
        <w:pStyle w:val="16"/>
        <w:spacing w:after="40" w:line="276" w:lineRule="auto"/>
      </w:pPr>
      <w:r>
        <w:rPr>
          <w:rFonts w:ascii="Times New Roman" w:hAnsi="Times New Roman" w:eastAsia="宋体"/>
          <w:sz w:val="21"/>
        </w:rPr>
        <w:t>正文不得超出页面边界。</w:t>
      </w:r>
    </w:p>
    <w:p w14:paraId="7794D70B">
      <w:pPr>
        <w:pStyle w:val="16"/>
        <w:spacing w:after="40" w:line="276" w:lineRule="auto"/>
      </w:pPr>
      <w:r>
        <w:rPr>
          <w:rFonts w:ascii="Times New Roman" w:hAnsi="Times New Roman" w:eastAsia="宋体"/>
          <w:sz w:val="21"/>
        </w:rPr>
        <w:t>正文字体必须属于下列文本字体白名单。</w:t>
      </w:r>
    </w:p>
    <w:p w14:paraId="0CA7035F">
      <w:pPr>
        <w:pStyle w:val="16"/>
        <w:spacing w:after="40" w:line="276" w:lineRule="auto"/>
      </w:pPr>
      <w:r>
        <w:rPr>
          <w:rFonts w:ascii="Times New Roman" w:hAnsi="Times New Roman" w:eastAsia="宋体"/>
          <w:sz w:val="21"/>
        </w:rPr>
        <w:t>论文标题字体必须属于下列文本字体白名单。</w:t>
      </w:r>
    </w:p>
    <w:p w14:paraId="53A51A82">
      <w:pPr>
        <w:pStyle w:val="16"/>
        <w:spacing w:after="40" w:line="276" w:lineRule="auto"/>
      </w:pPr>
      <w:r>
        <w:rPr>
          <w:rFonts w:ascii="Times New Roman" w:hAnsi="Times New Roman" w:eastAsia="宋体"/>
          <w:sz w:val="21"/>
        </w:rPr>
        <w:t>章节标题字体必须属于下列文本字体白名单。</w:t>
      </w:r>
    </w:p>
    <w:p w14:paraId="365699F7">
      <w:pPr>
        <w:pStyle w:val="16"/>
        <w:spacing w:after="40" w:line="276" w:lineRule="auto"/>
      </w:pPr>
      <w:r>
        <w:rPr>
          <w:rFonts w:ascii="Times New Roman" w:hAnsi="Times New Roman" w:eastAsia="宋体"/>
          <w:sz w:val="21"/>
        </w:rPr>
        <w:t>图题字体必须属于下列文本字体白名单。</w:t>
      </w:r>
    </w:p>
    <w:p w14:paraId="6C05CCC0">
      <w:pPr>
        <w:pStyle w:val="16"/>
        <w:spacing w:after="40" w:line="276" w:lineRule="auto"/>
      </w:pPr>
      <w:r>
        <w:rPr>
          <w:rFonts w:ascii="Times New Roman" w:hAnsi="Times New Roman" w:eastAsia="宋体"/>
          <w:sz w:val="21"/>
        </w:rPr>
        <w:t>表题字体必须属于下列文本字体白名单。</w:t>
      </w:r>
    </w:p>
    <w:p w14:paraId="35C18249">
      <w:pPr>
        <w:pStyle w:val="16"/>
        <w:spacing w:after="40" w:line="276" w:lineRule="auto"/>
      </w:pPr>
      <w:r>
        <w:rPr>
          <w:rFonts w:ascii="Times New Roman" w:hAnsi="Times New Roman" w:eastAsia="宋体"/>
          <w:sz w:val="21"/>
        </w:rPr>
        <w:t>参考文献字体必须属于下列文本字体白名单。</w:t>
      </w:r>
    </w:p>
    <w:p w14:paraId="09D3456F">
      <w:pPr>
        <w:spacing w:before="100" w:after="80"/>
      </w:pPr>
      <w:r>
        <w:rPr>
          <w:rFonts w:ascii="Times New Roman" w:hAnsi="Times New Roman" w:eastAsia="黑体"/>
          <w:b/>
          <w:sz w:val="21"/>
        </w:rPr>
        <w:t>文本字体白名单</w:t>
      </w:r>
    </w:p>
    <w:tbl>
      <w:tblPr>
        <w:tblStyle w:val="32"/>
        <w:tblW w:w="0" w:type="auto"/>
        <w:tblInd w:w="0" w:type="dxa"/>
        <w:tblLayout w:type="autofit"/>
        <w:tblCellMar>
          <w:top w:w="0" w:type="dxa"/>
          <w:left w:w="108" w:type="dxa"/>
          <w:bottom w:w="0" w:type="dxa"/>
          <w:right w:w="108" w:type="dxa"/>
        </w:tblCellMar>
      </w:tblPr>
      <w:tblGrid>
        <w:gridCol w:w="9406"/>
      </w:tblGrid>
      <w:tr w14:paraId="7DF6CFB5">
        <w:tblPrEx>
          <w:tblCellMar>
            <w:top w:w="0" w:type="dxa"/>
            <w:left w:w="108" w:type="dxa"/>
            <w:bottom w:w="0" w:type="dxa"/>
            <w:right w:w="108" w:type="dxa"/>
          </w:tblCellMar>
        </w:tblPrEx>
        <w:tc>
          <w:tcPr>
            <w:tcW w:w="9406" w:type="dxa"/>
            <w:shd w:val="clear" w:color="auto" w:fill="F3F4F6"/>
          </w:tcPr>
          <w:p w14:paraId="45E63198">
            <w:pPr>
              <w:spacing w:after="0"/>
            </w:pPr>
            <w:r>
              <w:rPr>
                <w:rFonts w:ascii="Consolas" w:hAnsi="Consolas" w:eastAsia="等线"/>
                <w:sz w:val="18"/>
              </w:rPr>
              <w:t>Times-Roman</w:t>
            </w:r>
            <w:r>
              <w:rPr>
                <w:rFonts w:ascii="Consolas" w:hAnsi="Consolas" w:eastAsia="等线"/>
                <w:sz w:val="18"/>
              </w:rPr>
              <w:br w:type="textWrapping"/>
            </w:r>
            <w:r>
              <w:rPr>
                <w:rFonts w:ascii="Consolas" w:hAnsi="Consolas" w:eastAsia="等线"/>
                <w:sz w:val="18"/>
              </w:rPr>
              <w:t>Times-Bold</w:t>
            </w:r>
            <w:r>
              <w:rPr>
                <w:rFonts w:ascii="Consolas" w:hAnsi="Consolas" w:eastAsia="等线"/>
                <w:sz w:val="18"/>
              </w:rPr>
              <w:br w:type="textWrapping"/>
            </w:r>
            <w:r>
              <w:rPr>
                <w:rFonts w:ascii="Consolas" w:hAnsi="Consolas" w:eastAsia="等线"/>
                <w:sz w:val="18"/>
              </w:rPr>
              <w:t>Times-Italic</w:t>
            </w:r>
            <w:r>
              <w:rPr>
                <w:rFonts w:ascii="Consolas" w:hAnsi="Consolas" w:eastAsia="等线"/>
                <w:sz w:val="18"/>
              </w:rPr>
              <w:br w:type="textWrapping"/>
            </w:r>
            <w:r>
              <w:rPr>
                <w:rFonts w:ascii="Consolas" w:hAnsi="Consolas" w:eastAsia="等线"/>
                <w:sz w:val="18"/>
              </w:rPr>
              <w:t>Times-BoldItalic</w:t>
            </w:r>
            <w:r>
              <w:rPr>
                <w:rFonts w:ascii="Consolas" w:hAnsi="Consolas" w:eastAsia="等线"/>
                <w:sz w:val="18"/>
              </w:rPr>
              <w:br w:type="textWrapping"/>
            </w:r>
            <w:r>
              <w:rPr>
                <w:rFonts w:ascii="Consolas" w:hAnsi="Consolas" w:eastAsia="等线"/>
                <w:sz w:val="18"/>
              </w:rPr>
              <w:t>TimesNewRomanPSMT</w:t>
            </w:r>
            <w:r>
              <w:rPr>
                <w:rFonts w:ascii="Consolas" w:hAnsi="Consolas" w:eastAsia="等线"/>
                <w:sz w:val="18"/>
              </w:rPr>
              <w:br w:type="textWrapping"/>
            </w:r>
            <w:r>
              <w:rPr>
                <w:rFonts w:ascii="Consolas" w:hAnsi="Consolas" w:eastAsia="等线"/>
                <w:sz w:val="18"/>
              </w:rPr>
              <w:t>TimesNewRomanPS-BoldMT</w:t>
            </w:r>
            <w:r>
              <w:rPr>
                <w:rFonts w:ascii="Consolas" w:hAnsi="Consolas" w:eastAsia="等线"/>
                <w:sz w:val="18"/>
              </w:rPr>
              <w:br w:type="textWrapping"/>
            </w:r>
            <w:r>
              <w:rPr>
                <w:rFonts w:ascii="Consolas" w:hAnsi="Consolas" w:eastAsia="等线"/>
                <w:sz w:val="18"/>
              </w:rPr>
              <w:t>TimesNewRomanPS-ItalicMT</w:t>
            </w:r>
            <w:r>
              <w:rPr>
                <w:rFonts w:ascii="Consolas" w:hAnsi="Consolas" w:eastAsia="等线"/>
                <w:sz w:val="18"/>
              </w:rPr>
              <w:br w:type="textWrapping"/>
            </w:r>
            <w:r>
              <w:rPr>
                <w:rFonts w:ascii="Consolas" w:hAnsi="Consolas" w:eastAsia="等线"/>
                <w:sz w:val="18"/>
              </w:rPr>
              <w:t>TimesNewRomanPS-BoldItalicMT</w:t>
            </w:r>
            <w:r>
              <w:rPr>
                <w:rFonts w:ascii="Consolas" w:hAnsi="Consolas" w:eastAsia="等线"/>
                <w:sz w:val="18"/>
              </w:rPr>
              <w:br w:type="textWrapping"/>
            </w:r>
            <w:r>
              <w:rPr>
                <w:rFonts w:ascii="Consolas" w:hAnsi="Consolas" w:eastAsia="等线"/>
                <w:sz w:val="18"/>
              </w:rPr>
              <w:t>NimbusRomNo9L-Regu</w:t>
            </w:r>
            <w:r>
              <w:rPr>
                <w:rFonts w:ascii="Consolas" w:hAnsi="Consolas" w:eastAsia="等线"/>
                <w:sz w:val="18"/>
              </w:rPr>
              <w:br w:type="textWrapping"/>
            </w:r>
            <w:r>
              <w:rPr>
                <w:rFonts w:ascii="Consolas" w:hAnsi="Consolas" w:eastAsia="等线"/>
                <w:sz w:val="18"/>
              </w:rPr>
              <w:t>NimbusRomNo9L-Medi</w:t>
            </w:r>
            <w:r>
              <w:rPr>
                <w:rFonts w:ascii="Consolas" w:hAnsi="Consolas" w:eastAsia="等线"/>
                <w:sz w:val="18"/>
              </w:rPr>
              <w:br w:type="textWrapping"/>
            </w:r>
            <w:r>
              <w:rPr>
                <w:rFonts w:ascii="Consolas" w:hAnsi="Consolas" w:eastAsia="等线"/>
                <w:sz w:val="18"/>
              </w:rPr>
              <w:t>NimbusRomNo9L-ReguItal</w:t>
            </w:r>
            <w:r>
              <w:rPr>
                <w:rFonts w:ascii="Consolas" w:hAnsi="Consolas" w:eastAsia="等线"/>
                <w:sz w:val="18"/>
              </w:rPr>
              <w:br w:type="textWrapping"/>
            </w:r>
            <w:r>
              <w:rPr>
                <w:rFonts w:ascii="Consolas" w:hAnsi="Consolas" w:eastAsia="等线"/>
                <w:sz w:val="18"/>
              </w:rPr>
              <w:t>NimbusRomNo9L-MediItal</w:t>
            </w:r>
            <w:r>
              <w:rPr>
                <w:rFonts w:ascii="Consolas" w:hAnsi="Consolas" w:eastAsia="等线"/>
                <w:sz w:val="18"/>
              </w:rPr>
              <w:br w:type="textWrapping"/>
            </w:r>
            <w:r>
              <w:rPr>
                <w:rFonts w:ascii="Consolas" w:hAnsi="Consolas" w:eastAsia="等线"/>
                <w:sz w:val="18"/>
              </w:rPr>
              <w:t>NimbusRomNo9L-Regu-Slant</w:t>
            </w:r>
          </w:p>
        </w:tc>
      </w:tr>
    </w:tbl>
    <w:p w14:paraId="6190840C">
      <w:pPr>
        <w:keepNext/>
        <w:spacing w:before="240" w:after="80"/>
      </w:pPr>
      <w:r>
        <w:rPr>
          <w:rFonts w:ascii="Times New Roman" w:hAnsi="Times New Roman" w:eastAsia="黑体"/>
          <w:b/>
          <w:color w:val="111827"/>
          <w:sz w:val="26"/>
        </w:rPr>
        <w:t>2. 论文标题</w:t>
      </w:r>
    </w:p>
    <w:p w14:paraId="38571E6F">
      <w:pPr>
        <w:pStyle w:val="16"/>
        <w:spacing w:after="40" w:line="276" w:lineRule="auto"/>
      </w:pPr>
      <w:r>
        <w:rPr>
          <w:rFonts w:ascii="Times New Roman" w:hAnsi="Times New Roman" w:eastAsia="宋体"/>
          <w:sz w:val="21"/>
        </w:rPr>
        <w:t>论文标题字号：13.8–14.8 pt。</w:t>
      </w:r>
    </w:p>
    <w:p w14:paraId="2D0C0215">
      <w:pPr>
        <w:pStyle w:val="16"/>
        <w:spacing w:after="40" w:line="276" w:lineRule="auto"/>
      </w:pPr>
      <w:r>
        <w:rPr>
          <w:rFonts w:ascii="Times New Roman" w:hAnsi="Times New Roman" w:eastAsia="宋体"/>
          <w:sz w:val="21"/>
        </w:rPr>
        <w:t>论文标题的粗体字符比例至少为 0.9。</w:t>
      </w:r>
    </w:p>
    <w:p w14:paraId="0BC9E4E8">
      <w:pPr>
        <w:pStyle w:val="16"/>
        <w:spacing w:after="40" w:line="276" w:lineRule="auto"/>
      </w:pPr>
      <w:r>
        <w:rPr>
          <w:rFonts w:ascii="Times New Roman" w:hAnsi="Times New Roman" w:eastAsia="宋体"/>
          <w:sz w:val="21"/>
        </w:rPr>
        <w:t>论文标题中心与正文区域中心的偏差不超过 8 pt。</w:t>
      </w:r>
    </w:p>
    <w:p w14:paraId="10C1AA6A">
      <w:pPr>
        <w:pStyle w:val="16"/>
        <w:spacing w:after="40" w:line="276" w:lineRule="auto"/>
      </w:pPr>
      <w:r>
        <w:rPr>
          <w:rFonts w:ascii="Times New Roman" w:hAnsi="Times New Roman" w:eastAsia="宋体"/>
          <w:sz w:val="21"/>
        </w:rPr>
        <w:t>论文标题上方和下方各有一条水平线。</w:t>
      </w:r>
    </w:p>
    <w:p w14:paraId="4287EB27">
      <w:pPr>
        <w:pStyle w:val="16"/>
        <w:spacing w:after="40" w:line="276" w:lineRule="auto"/>
      </w:pPr>
      <w:r>
        <w:rPr>
          <w:rFonts w:ascii="Times New Roman" w:hAnsi="Times New Roman" w:eastAsia="宋体"/>
          <w:sz w:val="21"/>
        </w:rPr>
        <w:t>论文标题上下水平线的线宽：0.8–1.2 pt。</w:t>
      </w:r>
    </w:p>
    <w:p w14:paraId="27184FC5">
      <w:pPr>
        <w:pStyle w:val="16"/>
        <w:spacing w:after="40" w:line="276" w:lineRule="auto"/>
      </w:pPr>
      <w:r>
        <w:rPr>
          <w:rFonts w:ascii="Times New Roman" w:hAnsi="Times New Roman" w:eastAsia="宋体"/>
          <w:sz w:val="21"/>
        </w:rPr>
        <w:t>论文标题上方水平线距页顶：70–75 pt。</w:t>
      </w:r>
    </w:p>
    <w:p w14:paraId="4BDA6932">
      <w:pPr>
        <w:pStyle w:val="16"/>
        <w:spacing w:after="40" w:line="276" w:lineRule="auto"/>
      </w:pPr>
      <w:r>
        <w:rPr>
          <w:rFonts w:ascii="Times New Roman" w:hAnsi="Times New Roman" w:eastAsia="宋体"/>
          <w:sz w:val="21"/>
        </w:rPr>
        <w:t>论文标题中的内容词采用标题式大小写。</w:t>
      </w:r>
    </w:p>
    <w:p w14:paraId="0E6D8875">
      <w:pPr>
        <w:keepNext/>
        <w:spacing w:before="240" w:after="80"/>
      </w:pPr>
      <w:r>
        <w:rPr>
          <w:rFonts w:ascii="Times New Roman" w:hAnsi="Times New Roman" w:eastAsia="黑体"/>
          <w:b/>
          <w:color w:val="111827"/>
          <w:sz w:val="26"/>
        </w:rPr>
        <w:t>3. 章节标题</w:t>
      </w:r>
    </w:p>
    <w:p w14:paraId="1D2D438F">
      <w:pPr>
        <w:pStyle w:val="16"/>
        <w:spacing w:after="40" w:line="276" w:lineRule="auto"/>
      </w:pPr>
      <w:r>
        <w:rPr>
          <w:rFonts w:ascii="Times New Roman" w:hAnsi="Times New Roman" w:eastAsia="宋体"/>
          <w:sz w:val="21"/>
        </w:rPr>
        <w:t>一级章节标题格式：1. Title。</w:t>
      </w:r>
    </w:p>
    <w:p w14:paraId="5853F39F">
      <w:pPr>
        <w:pStyle w:val="16"/>
        <w:spacing w:after="40" w:line="276" w:lineRule="auto"/>
      </w:pPr>
      <w:r>
        <w:rPr>
          <w:rFonts w:ascii="Times New Roman" w:hAnsi="Times New Roman" w:eastAsia="宋体"/>
          <w:sz w:val="21"/>
        </w:rPr>
        <w:t>二级章节标题格式：1.1. Title。</w:t>
      </w:r>
    </w:p>
    <w:p w14:paraId="5BDB8EB2">
      <w:pPr>
        <w:pStyle w:val="16"/>
        <w:spacing w:after="40" w:line="276" w:lineRule="auto"/>
      </w:pPr>
      <w:r>
        <w:rPr>
          <w:rFonts w:ascii="Times New Roman" w:hAnsi="Times New Roman" w:eastAsia="宋体"/>
          <w:sz w:val="21"/>
        </w:rPr>
        <w:t>三级章节标题格式：1.1.1. Title。</w:t>
      </w:r>
    </w:p>
    <w:p w14:paraId="45F7BBC6">
      <w:pPr>
        <w:pStyle w:val="16"/>
        <w:spacing w:after="40" w:line="276" w:lineRule="auto"/>
      </w:pPr>
      <w:r>
        <w:rPr>
          <w:rFonts w:ascii="Times New Roman" w:hAnsi="Times New Roman" w:eastAsia="宋体"/>
          <w:sz w:val="21"/>
        </w:rPr>
        <w:t>一级章节标题字号：11.5–12.3 pt，粗体字符比例至少为 0.9。</w:t>
      </w:r>
    </w:p>
    <w:p w14:paraId="525806C7">
      <w:pPr>
        <w:pStyle w:val="16"/>
        <w:spacing w:after="40" w:line="276" w:lineRule="auto"/>
      </w:pPr>
      <w:r>
        <w:rPr>
          <w:rFonts w:ascii="Times New Roman" w:hAnsi="Times New Roman" w:eastAsia="宋体"/>
          <w:sz w:val="21"/>
        </w:rPr>
        <w:t>二级章节标题字号：9.5–10.5 pt，粗体字符比例至少为 0.9。</w:t>
      </w:r>
    </w:p>
    <w:p w14:paraId="6A714CFE">
      <w:pPr>
        <w:pStyle w:val="16"/>
        <w:spacing w:after="40" w:line="276" w:lineRule="auto"/>
      </w:pPr>
      <w:r>
        <w:rPr>
          <w:rFonts w:ascii="Times New Roman" w:hAnsi="Times New Roman" w:eastAsia="宋体"/>
          <w:sz w:val="21"/>
        </w:rPr>
        <w:t>三级章节标题字号：9.5–10.5 pt。</w:t>
      </w:r>
    </w:p>
    <w:p w14:paraId="77F06371">
      <w:pPr>
        <w:pStyle w:val="16"/>
        <w:spacing w:after="40" w:line="276" w:lineRule="auto"/>
      </w:pPr>
      <w:r>
        <w:rPr>
          <w:rFonts w:ascii="Times New Roman" w:hAnsi="Times New Roman" w:eastAsia="宋体"/>
          <w:sz w:val="21"/>
        </w:rPr>
        <w:t>章节标题左边界与所在栏起点的偏差不超过 3 pt。</w:t>
      </w:r>
    </w:p>
    <w:p w14:paraId="51351230">
      <w:pPr>
        <w:pStyle w:val="16"/>
        <w:spacing w:after="40" w:line="276" w:lineRule="auto"/>
      </w:pPr>
      <w:r>
        <w:rPr>
          <w:rFonts w:ascii="Times New Roman" w:hAnsi="Times New Roman" w:eastAsia="宋体"/>
          <w:sz w:val="21"/>
        </w:rPr>
        <w:t>章节标题不得与相邻内容重叠。</w:t>
      </w:r>
    </w:p>
    <w:p w14:paraId="422C8914">
      <w:pPr>
        <w:pStyle w:val="16"/>
        <w:spacing w:after="40" w:line="276" w:lineRule="auto"/>
      </w:pPr>
      <w:r>
        <w:rPr>
          <w:rFonts w:ascii="Times New Roman" w:hAnsi="Times New Roman" w:eastAsia="宋体"/>
          <w:sz w:val="21"/>
        </w:rPr>
        <w:t>章节标题层级最多为三级。</w:t>
      </w:r>
    </w:p>
    <w:p w14:paraId="59CA547F">
      <w:pPr>
        <w:pStyle w:val="16"/>
        <w:spacing w:after="40" w:line="276" w:lineRule="auto"/>
      </w:pPr>
      <w:r>
        <w:rPr>
          <w:rFonts w:ascii="Times New Roman" w:hAnsi="Times New Roman" w:eastAsia="宋体"/>
          <w:sz w:val="21"/>
        </w:rPr>
        <w:t>章节标题中的内容词采用标题式大小写。</w:t>
      </w:r>
    </w:p>
    <w:p w14:paraId="4A61388A">
      <w:pPr>
        <w:keepNext/>
        <w:spacing w:before="240" w:after="80"/>
      </w:pPr>
      <w:r>
        <w:rPr>
          <w:rFonts w:ascii="Times New Roman" w:hAnsi="Times New Roman" w:eastAsia="黑体"/>
          <w:b/>
          <w:color w:val="111827"/>
          <w:sz w:val="26"/>
        </w:rPr>
        <w:t>4. 图</w:t>
      </w:r>
    </w:p>
    <w:p w14:paraId="5C5FE279">
      <w:pPr>
        <w:pStyle w:val="16"/>
        <w:spacing w:after="40" w:line="276" w:lineRule="auto"/>
      </w:pPr>
      <w:r>
        <w:rPr>
          <w:rFonts w:ascii="Times New Roman" w:hAnsi="Times New Roman" w:eastAsia="宋体"/>
          <w:sz w:val="21"/>
        </w:rPr>
        <w:t>图号从 1 开始连续编号。</w:t>
      </w:r>
    </w:p>
    <w:p w14:paraId="776675A1">
      <w:pPr>
        <w:pStyle w:val="16"/>
        <w:spacing w:after="40" w:line="276" w:lineRule="auto"/>
      </w:pPr>
      <w:r>
        <w:rPr>
          <w:rFonts w:ascii="Times New Roman" w:hAnsi="Times New Roman" w:eastAsia="宋体"/>
          <w:sz w:val="21"/>
        </w:rPr>
        <w:t>图题位于图形下方。</w:t>
      </w:r>
    </w:p>
    <w:p w14:paraId="3727B9B5">
      <w:pPr>
        <w:pStyle w:val="16"/>
        <w:spacing w:after="40" w:line="276" w:lineRule="auto"/>
      </w:pPr>
      <w:r>
        <w:rPr>
          <w:rFonts w:ascii="Times New Roman" w:hAnsi="Times New Roman" w:eastAsia="宋体"/>
          <w:sz w:val="21"/>
        </w:rPr>
        <w:t>图题字号：8.5–9.5 pt。</w:t>
      </w:r>
    </w:p>
    <w:p w14:paraId="411936D4">
      <w:pPr>
        <w:pStyle w:val="16"/>
        <w:spacing w:after="40" w:line="276" w:lineRule="auto"/>
      </w:pPr>
      <w:r>
        <w:rPr>
          <w:rFonts w:ascii="Times New Roman" w:hAnsi="Times New Roman" w:eastAsia="宋体"/>
          <w:sz w:val="21"/>
        </w:rPr>
        <w:t>单行图题中心与所在栏或跨栏区域中心偏差不超过 8 pt。</w:t>
      </w:r>
    </w:p>
    <w:p w14:paraId="124B2477">
      <w:pPr>
        <w:pStyle w:val="16"/>
        <w:spacing w:after="40" w:line="276" w:lineRule="auto"/>
      </w:pPr>
      <w:r>
        <w:rPr>
          <w:rFonts w:ascii="Times New Roman" w:hAnsi="Times New Roman" w:eastAsia="宋体"/>
          <w:sz w:val="21"/>
        </w:rPr>
        <w:t>多行图题左边界与所在栏或跨栏区域左边界偏差不超过 3 pt。</w:t>
      </w:r>
    </w:p>
    <w:p w14:paraId="18D70DBA">
      <w:pPr>
        <w:pStyle w:val="16"/>
        <w:spacing w:after="40" w:line="276" w:lineRule="auto"/>
      </w:pPr>
      <w:r>
        <w:rPr>
          <w:rFonts w:ascii="Times New Roman" w:hAnsi="Times New Roman" w:eastAsia="宋体"/>
          <w:sz w:val="21"/>
        </w:rPr>
        <w:t>图形 bbox 必须位于正文区域内。</w:t>
      </w:r>
    </w:p>
    <w:p w14:paraId="7F71631E">
      <w:pPr>
        <w:keepNext/>
        <w:spacing w:before="240" w:after="80"/>
      </w:pPr>
      <w:r>
        <w:rPr>
          <w:rFonts w:ascii="Times New Roman" w:hAnsi="Times New Roman" w:eastAsia="黑体"/>
          <w:b/>
          <w:color w:val="111827"/>
          <w:sz w:val="26"/>
        </w:rPr>
        <w:t>5. 表</w:t>
      </w:r>
    </w:p>
    <w:p w14:paraId="4B115A24">
      <w:pPr>
        <w:pStyle w:val="16"/>
        <w:spacing w:after="40" w:line="276" w:lineRule="auto"/>
      </w:pPr>
      <w:r>
        <w:rPr>
          <w:rFonts w:ascii="Times New Roman" w:hAnsi="Times New Roman" w:eastAsia="宋体"/>
          <w:sz w:val="21"/>
        </w:rPr>
        <w:t>表号从 1 开始连续编号。</w:t>
      </w:r>
    </w:p>
    <w:p w14:paraId="64FEA9CD">
      <w:pPr>
        <w:pStyle w:val="16"/>
        <w:spacing w:after="40" w:line="276" w:lineRule="auto"/>
      </w:pPr>
      <w:r>
        <w:rPr>
          <w:rFonts w:ascii="Times New Roman" w:hAnsi="Times New Roman" w:eastAsia="宋体"/>
          <w:sz w:val="21"/>
        </w:rPr>
        <w:t>表题字号：8.5–9.5 pt。</w:t>
      </w:r>
    </w:p>
    <w:p w14:paraId="216A428E">
      <w:pPr>
        <w:pStyle w:val="16"/>
        <w:spacing w:after="40" w:line="276" w:lineRule="auto"/>
      </w:pPr>
      <w:r>
        <w:rPr>
          <w:rFonts w:ascii="Times New Roman" w:hAnsi="Times New Roman" w:eastAsia="宋体"/>
          <w:sz w:val="21"/>
        </w:rPr>
        <w:t>单行表题中心与所在栏或跨栏区域中心偏差不超过 8 pt。</w:t>
      </w:r>
    </w:p>
    <w:p w14:paraId="2D50EE2E">
      <w:pPr>
        <w:pStyle w:val="16"/>
        <w:spacing w:after="40" w:line="276" w:lineRule="auto"/>
      </w:pPr>
      <w:r>
        <w:rPr>
          <w:rFonts w:ascii="Times New Roman" w:hAnsi="Times New Roman" w:eastAsia="宋体"/>
          <w:sz w:val="21"/>
        </w:rPr>
        <w:t>多行表题左边界与所在栏或跨栏区域左边界偏差不超过 3 pt。</w:t>
      </w:r>
    </w:p>
    <w:p w14:paraId="64D5D3E3">
      <w:pPr>
        <w:pStyle w:val="16"/>
        <w:spacing w:after="40" w:line="276" w:lineRule="auto"/>
      </w:pPr>
      <w:r>
        <w:rPr>
          <w:rFonts w:ascii="Times New Roman" w:hAnsi="Times New Roman" w:eastAsia="宋体"/>
          <w:sz w:val="21"/>
        </w:rPr>
        <w:t>表格 bbox 必须位于正文区域内。</w:t>
      </w:r>
    </w:p>
    <w:p w14:paraId="11470881">
      <w:pPr>
        <w:keepNext/>
        <w:spacing w:before="240" w:after="80"/>
      </w:pPr>
      <w:r>
        <w:rPr>
          <w:rFonts w:ascii="Times New Roman" w:hAnsi="Times New Roman" w:eastAsia="黑体"/>
          <w:b/>
          <w:color w:val="111827"/>
          <w:sz w:val="26"/>
        </w:rPr>
        <w:t>6. 参考文献</w:t>
      </w:r>
    </w:p>
    <w:p w14:paraId="610A5C01">
      <w:pPr>
        <w:pStyle w:val="16"/>
        <w:spacing w:after="40" w:line="276" w:lineRule="auto"/>
      </w:pPr>
      <w:r>
        <w:rPr>
          <w:rFonts w:ascii="Times New Roman" w:hAnsi="Times New Roman" w:eastAsia="宋体"/>
          <w:sz w:val="21"/>
        </w:rPr>
        <w:t>正文中的文内引用主要采用作者—年份格式。</w:t>
      </w:r>
    </w:p>
    <w:p w14:paraId="0EF26BD5">
      <w:pPr>
        <w:pStyle w:val="16"/>
        <w:spacing w:after="40" w:line="276" w:lineRule="auto"/>
      </w:pPr>
      <w:r>
        <w:rPr>
          <w:rFonts w:ascii="Times New Roman" w:hAnsi="Times New Roman" w:eastAsia="宋体"/>
          <w:sz w:val="21"/>
        </w:rPr>
        <w:t>正文中的数字式文内引用不得占主要比例。</w:t>
      </w:r>
    </w:p>
    <w:p w14:paraId="4A716417">
      <w:pPr>
        <w:pStyle w:val="16"/>
        <w:spacing w:after="40" w:line="276" w:lineRule="auto"/>
      </w:pPr>
      <w:r>
        <w:rPr>
          <w:rFonts w:ascii="Times New Roman" w:hAnsi="Times New Roman" w:eastAsia="宋体"/>
          <w:sz w:val="21"/>
        </w:rPr>
        <w:t>References 必须采用无编号的一级章节标题格式。</w:t>
      </w:r>
    </w:p>
    <w:p w14:paraId="5DAEB26F">
      <w:pPr>
        <w:pStyle w:val="16"/>
        <w:spacing w:after="40" w:line="276" w:lineRule="auto"/>
      </w:pPr>
      <w:r>
        <w:rPr>
          <w:rFonts w:ascii="Times New Roman" w:hAnsi="Times New Roman" w:eastAsia="宋体"/>
          <w:sz w:val="21"/>
        </w:rPr>
        <w:t>参考文献条目的悬挂缩进：8–12 pt。</w:t>
      </w:r>
    </w:p>
    <w:p w14:paraId="69AA404E">
      <w:pPr>
        <w:pStyle w:val="16"/>
        <w:spacing w:after="40" w:line="276" w:lineRule="auto"/>
      </w:pPr>
      <w:r>
        <w:rPr>
          <w:rFonts w:ascii="Times New Roman" w:hAnsi="Times New Roman" w:eastAsia="宋体"/>
          <w:sz w:val="21"/>
        </w:rPr>
        <w:t>参考文献按第一作者姓氏排序。</w:t>
      </w:r>
    </w:p>
    <w:p w14:paraId="082AB048">
      <w:pPr>
        <w:pStyle w:val="16"/>
        <w:spacing w:after="40" w:line="276" w:lineRule="auto"/>
      </w:pPr>
      <w:r>
        <w:rPr>
          <w:rFonts w:ascii="Times New Roman" w:hAnsi="Times New Roman" w:eastAsia="宋体"/>
          <w:sz w:val="21"/>
        </w:rPr>
        <w:t>每条参考文献必须包含可识别年份。</w:t>
      </w:r>
    </w:p>
    <w:p w14:paraId="411B2E81">
      <w:pPr>
        <w:keepNext/>
        <w:spacing w:before="240" w:after="80"/>
      </w:pPr>
      <w:r>
        <w:rPr>
          <w:rFonts w:ascii="Times New Roman" w:hAnsi="Times New Roman" w:eastAsia="黑体"/>
          <w:b/>
          <w:color w:val="111827"/>
          <w:sz w:val="26"/>
        </w:rPr>
        <w:t>7. 附录</w:t>
      </w:r>
    </w:p>
    <w:p w14:paraId="43109EEF">
      <w:pPr>
        <w:pStyle w:val="16"/>
        <w:spacing w:after="40" w:line="276" w:lineRule="auto"/>
      </w:pPr>
      <w:r>
        <w:rPr>
          <w:rFonts w:ascii="Times New Roman" w:hAnsi="Times New Roman" w:eastAsia="宋体"/>
          <w:sz w:val="21"/>
        </w:rPr>
        <w:t>附录页面宽度和高度必须分别与正文页面宽度和高度一致。</w:t>
      </w:r>
    </w:p>
    <w:p w14:paraId="24747E02">
      <w:pPr>
        <w:pStyle w:val="16"/>
        <w:spacing w:after="40" w:line="276" w:lineRule="auto"/>
      </w:pPr>
      <w:r>
        <w:rPr>
          <w:rFonts w:ascii="Times New Roman" w:hAnsi="Times New Roman" w:eastAsia="宋体"/>
          <w:sz w:val="21"/>
        </w:rPr>
        <w:t>附录正文字体必须属于下列文本字体白名单。</w:t>
      </w:r>
    </w:p>
    <w:p w14:paraId="3716D2C8">
      <w:pPr>
        <w:pStyle w:val="16"/>
        <w:spacing w:after="40" w:line="276" w:lineRule="auto"/>
      </w:pPr>
      <w:r>
        <w:rPr>
          <w:rFonts w:ascii="Times New Roman" w:hAnsi="Times New Roman" w:eastAsia="宋体"/>
          <w:sz w:val="21"/>
        </w:rPr>
        <w:t>附录正文字号众数与正文主体字号众数的差异不得超过 0.5 pt。</w:t>
      </w:r>
    </w:p>
    <w:p w14:paraId="20BFD249">
      <w:pPr>
        <w:pStyle w:val="16"/>
        <w:spacing w:after="40" w:line="276" w:lineRule="auto"/>
      </w:pPr>
      <w:r>
        <w:rPr>
          <w:rFonts w:ascii="Times New Roman" w:hAnsi="Times New Roman" w:eastAsia="宋体"/>
          <w:sz w:val="21"/>
        </w:rPr>
        <w:t>附录正文基线间距中位数与正文主体基线间距中位数的差异不得超过 1 pt。</w:t>
      </w:r>
    </w:p>
    <w:p w14:paraId="6565913E">
      <w:pPr>
        <w:pStyle w:val="16"/>
        <w:spacing w:after="40" w:line="276" w:lineRule="auto"/>
      </w:pPr>
      <w:r>
        <w:rPr>
          <w:rFonts w:ascii="Times New Roman" w:hAnsi="Times New Roman" w:eastAsia="宋体"/>
          <w:sz w:val="21"/>
        </w:rPr>
        <w:t>双栏附录的左、右栏起点必须分别与正文双栏对应栏起点比对，差异均不得超过 2 pt。</w:t>
      </w:r>
    </w:p>
    <w:p w14:paraId="7E06C565">
      <w:pPr>
        <w:pStyle w:val="16"/>
        <w:spacing w:after="40" w:line="276" w:lineRule="auto"/>
      </w:pPr>
      <w:r>
        <w:rPr>
          <w:rFonts w:ascii="Times New Roman" w:hAnsi="Times New Roman" w:eastAsia="宋体"/>
          <w:sz w:val="21"/>
        </w:rPr>
        <w:t>双栏附录的栏间距与正文双栏栏间距的差异不得超过 2 pt。</w:t>
      </w:r>
    </w:p>
    <w:p w14:paraId="4A7910D0">
      <w:pPr>
        <w:pStyle w:val="16"/>
        <w:spacing w:after="40" w:line="276" w:lineRule="auto"/>
      </w:pPr>
      <w:r>
        <w:rPr>
          <w:rFonts w:ascii="Times New Roman" w:hAnsi="Times New Roman" w:eastAsia="宋体"/>
          <w:sz w:val="21"/>
        </w:rPr>
        <w:t>附录页码的存在状态和位置必须分别与正文页码的存在状态和位置一致。</w:t>
      </w:r>
    </w:p>
    <w:p w14:paraId="2FB8B941">
      <w:pPr>
        <w:pStyle w:val="16"/>
        <w:spacing w:after="40" w:line="276" w:lineRule="auto"/>
      </w:pPr>
      <w:r>
        <w:rPr>
          <w:rFonts w:ascii="Times New Roman" w:hAnsi="Times New Roman" w:eastAsia="宋体"/>
          <w:sz w:val="21"/>
        </w:rPr>
        <w:t>附录标题采用 A.、B. 等连续编号。</w:t>
      </w:r>
    </w:p>
    <w:p w14:paraId="00B39D82">
      <w:pPr>
        <w:keepNext/>
        <w:spacing w:before="240" w:after="80"/>
      </w:pPr>
      <w:r>
        <w:rPr>
          <w:rFonts w:ascii="Times New Roman" w:hAnsi="Times New Roman" w:eastAsia="黑体"/>
          <w:b/>
          <w:color w:val="111827"/>
          <w:sz w:val="26"/>
        </w:rPr>
        <w:t>8. 初稿匿名</w:t>
      </w:r>
    </w:p>
    <w:p w14:paraId="12631A16">
      <w:pPr>
        <w:pStyle w:val="16"/>
        <w:spacing w:after="40" w:line="276" w:lineRule="auto"/>
      </w:pPr>
      <w:r>
        <w:rPr>
          <w:rFonts w:ascii="Times New Roman" w:hAnsi="Times New Roman" w:eastAsia="宋体"/>
          <w:sz w:val="21"/>
        </w:rPr>
        <w:t>仅在初稿模式下执行。</w:t>
      </w:r>
    </w:p>
    <w:p w14:paraId="07F88DD4">
      <w:pPr>
        <w:pStyle w:val="16"/>
        <w:spacing w:after="40" w:line="276" w:lineRule="auto"/>
      </w:pPr>
      <w:r>
        <w:rPr>
          <w:rFonts w:ascii="Times New Roman" w:hAnsi="Times New Roman" w:eastAsia="宋体"/>
          <w:sz w:val="21"/>
        </w:rPr>
        <w:t>论文标题下方水平线与摘要标题“Abstract”之间不得存在身份信息块。</w:t>
      </w:r>
    </w:p>
    <w:p w14:paraId="4465E712">
      <w:pPr>
        <w:pStyle w:val="16"/>
        <w:spacing w:after="40" w:line="276" w:lineRule="auto"/>
      </w:pPr>
      <w:r>
        <w:rPr>
          <w:rFonts w:ascii="Times New Roman" w:hAnsi="Times New Roman" w:eastAsia="宋体"/>
          <w:sz w:val="21"/>
        </w:rPr>
        <w:t>论文标题下方水平线与摘要标题“Abstract”之间的区域只允许为空，或包含 Anonymous Authors、Anonymous Submission、Under Review。</w:t>
      </w:r>
    </w:p>
    <w:p w14:paraId="3A346BAD">
      <w:pPr>
        <w:pStyle w:val="16"/>
        <w:spacing w:after="40" w:line="276" w:lineRule="auto"/>
      </w:pPr>
      <w:r>
        <w:rPr>
          <w:rFonts w:ascii="Times New Roman" w:hAnsi="Times New Roman" w:eastAsia="宋体"/>
          <w:sz w:val="21"/>
        </w:rPr>
        <w:t>首页不得出现符合邮箱格式的文本。</w:t>
      </w:r>
    </w:p>
    <w:p w14:paraId="360264A8">
      <w:pPr>
        <w:pStyle w:val="16"/>
        <w:spacing w:after="40" w:line="276" w:lineRule="auto"/>
      </w:pPr>
      <w:r>
        <w:rPr>
          <w:rFonts w:ascii="Times New Roman" w:hAnsi="Times New Roman" w:eastAsia="宋体"/>
          <w:sz w:val="21"/>
        </w:rPr>
        <w:t>首页不得出现 Correspondence to:。</w:t>
      </w:r>
    </w:p>
    <w:p w14:paraId="316A1D3C">
      <w:pPr>
        <w:pStyle w:val="16"/>
        <w:spacing w:after="40" w:line="276" w:lineRule="auto"/>
      </w:pPr>
      <w:r>
        <w:rPr>
          <w:rFonts w:ascii="Times New Roman" w:hAnsi="Times New Roman" w:eastAsia="宋体"/>
          <w:sz w:val="21"/>
        </w:rPr>
        <w:t>首页不得出现 Proceedings of。</w:t>
      </w:r>
    </w:p>
    <w:p w14:paraId="468FD41B">
      <w:pPr>
        <w:pStyle w:val="16"/>
        <w:spacing w:after="40" w:line="276" w:lineRule="auto"/>
      </w:pPr>
      <w:r>
        <w:rPr>
          <w:rFonts w:ascii="Times New Roman" w:hAnsi="Times New Roman" w:eastAsia="宋体"/>
          <w:sz w:val="21"/>
        </w:rPr>
        <w:t>首页不得出现 Copyright。</w:t>
      </w:r>
    </w:p>
    <w:p w14:paraId="54E1A35E">
      <w:pPr>
        <w:pStyle w:val="16"/>
        <w:spacing w:after="40" w:line="276" w:lineRule="auto"/>
      </w:pPr>
      <w:r>
        <w:rPr>
          <w:rFonts w:ascii="Times New Roman" w:hAnsi="Times New Roman" w:eastAsia="宋体"/>
          <w:sz w:val="21"/>
        </w:rPr>
        <w:t>首页不得出现 ©。</w:t>
      </w:r>
    </w:p>
    <w:p w14:paraId="06D92247">
      <w:pPr>
        <w:pStyle w:val="16"/>
        <w:spacing w:after="40" w:line="276" w:lineRule="auto"/>
      </w:pPr>
      <w:r>
        <w:rPr>
          <w:rFonts w:ascii="Times New Roman" w:hAnsi="Times New Roman" w:eastAsia="宋体"/>
          <w:sz w:val="21"/>
        </w:rPr>
        <w:t>检查采用固定区域定位和确定性正则匹配。</w:t>
      </w:r>
    </w:p>
    <w:p w14:paraId="2062A910">
      <w:pPr>
        <w:keepNext/>
        <w:spacing w:before="240" w:after="80"/>
      </w:pPr>
      <w:r>
        <w:rPr>
          <w:rFonts w:hint="eastAsia" w:eastAsia="黑体"/>
          <w:b/>
          <w:color w:val="111827"/>
          <w:sz w:val="26"/>
          <w:lang w:val="en-US" w:eastAsia="zh-CN"/>
        </w:rPr>
        <w:t>9</w:t>
      </w:r>
      <w:r>
        <w:rPr>
          <w:rFonts w:ascii="Times New Roman" w:hAnsi="Times New Roman" w:eastAsia="黑体"/>
          <w:b/>
          <w:color w:val="111827"/>
          <w:sz w:val="26"/>
        </w:rPr>
        <w:t>. 终稿页面</w:t>
      </w:r>
    </w:p>
    <w:p w14:paraId="2B9A08DB">
      <w:pPr>
        <w:pStyle w:val="16"/>
        <w:spacing w:after="40" w:line="276" w:lineRule="auto"/>
      </w:pPr>
      <w:r>
        <w:rPr>
          <w:rFonts w:ascii="Times New Roman" w:hAnsi="Times New Roman" w:eastAsia="宋体"/>
          <w:sz w:val="21"/>
        </w:rPr>
        <w:t>每页宽度：612 ± 1 pt。</w:t>
      </w:r>
    </w:p>
    <w:p w14:paraId="4376E2B3">
      <w:pPr>
        <w:pStyle w:val="16"/>
        <w:spacing w:after="40" w:line="276" w:lineRule="auto"/>
      </w:pPr>
      <w:r>
        <w:rPr>
          <w:rFonts w:ascii="Times New Roman" w:hAnsi="Times New Roman" w:eastAsia="宋体"/>
          <w:sz w:val="21"/>
        </w:rPr>
        <w:t>每页高度：792 ± 1 pt。</w:t>
      </w:r>
    </w:p>
    <w:p w14:paraId="2A2F6C04">
      <w:pPr>
        <w:pStyle w:val="16"/>
        <w:spacing w:after="40" w:line="276" w:lineRule="auto"/>
      </w:pPr>
      <w:r>
        <w:rPr>
          <w:rFonts w:ascii="Times New Roman" w:hAnsi="Times New Roman" w:eastAsia="宋体"/>
          <w:sz w:val="21"/>
        </w:rPr>
        <w:t>页面旋转角度为 0。</w:t>
      </w:r>
    </w:p>
    <w:p w14:paraId="36B3DB2C">
      <w:pPr>
        <w:pStyle w:val="16"/>
        <w:spacing w:after="40" w:line="276" w:lineRule="auto"/>
      </w:pPr>
      <w:r>
        <w:rPr>
          <w:rFonts w:ascii="Times New Roman" w:hAnsi="Times New Roman" w:eastAsia="宋体"/>
          <w:sz w:val="21"/>
        </w:rPr>
        <w:t>所有页面尺寸一致。</w:t>
      </w:r>
    </w:p>
    <w:p w14:paraId="62F31133">
      <w:pPr>
        <w:keepNext/>
        <w:spacing w:before="240" w:after="80"/>
      </w:pPr>
      <w:r>
        <w:rPr>
          <w:rFonts w:ascii="Times New Roman" w:hAnsi="Times New Roman" w:eastAsia="黑体"/>
          <w:b/>
          <w:color w:val="111827"/>
          <w:sz w:val="26"/>
        </w:rPr>
        <w:t>1</w:t>
      </w:r>
      <w:r>
        <w:rPr>
          <w:rFonts w:hint="eastAsia" w:eastAsia="黑体"/>
          <w:b/>
          <w:color w:val="111827"/>
          <w:sz w:val="26"/>
          <w:lang w:val="en-US" w:eastAsia="zh-CN"/>
        </w:rPr>
        <w:t>0</w:t>
      </w:r>
      <w:r>
        <w:rPr>
          <w:rFonts w:ascii="Times New Roman" w:hAnsi="Times New Roman" w:eastAsia="黑体"/>
          <w:b/>
          <w:color w:val="111827"/>
          <w:sz w:val="26"/>
        </w:rPr>
        <w:t>. 终稿作者</w:t>
      </w:r>
    </w:p>
    <w:p w14:paraId="028985C0">
      <w:pPr>
        <w:pStyle w:val="16"/>
        <w:spacing w:after="40" w:line="276" w:lineRule="auto"/>
      </w:pPr>
      <w:r>
        <w:rPr>
          <w:rFonts w:ascii="Times New Roman" w:hAnsi="Times New Roman" w:eastAsia="宋体"/>
          <w:sz w:val="21"/>
        </w:rPr>
        <w:t>作者信息位于论文标题下方水平线之后。</w:t>
      </w:r>
    </w:p>
    <w:p w14:paraId="4857A64E">
      <w:pPr>
        <w:pStyle w:val="16"/>
        <w:spacing w:after="40" w:line="276" w:lineRule="auto"/>
      </w:pPr>
      <w:r>
        <w:rPr>
          <w:rFonts w:ascii="Times New Roman" w:hAnsi="Times New Roman" w:eastAsia="宋体"/>
          <w:sz w:val="21"/>
        </w:rPr>
        <w:t>作者姓名文本或其上标距论文标题下方水平线：19–24 pt。</w:t>
      </w:r>
    </w:p>
    <w:p w14:paraId="514BE5EB">
      <w:pPr>
        <w:pStyle w:val="16"/>
        <w:spacing w:after="40" w:line="276" w:lineRule="auto"/>
      </w:pPr>
      <w:r>
        <w:rPr>
          <w:rFonts w:ascii="Times New Roman" w:hAnsi="Times New Roman" w:eastAsia="宋体"/>
          <w:sz w:val="21"/>
        </w:rPr>
        <w:t>作者姓名字号：9.5–10.5 pt。</w:t>
      </w:r>
    </w:p>
    <w:p w14:paraId="79745067">
      <w:pPr>
        <w:pStyle w:val="16"/>
        <w:spacing w:after="40" w:line="276" w:lineRule="auto"/>
      </w:pPr>
      <w:r>
        <w:rPr>
          <w:rFonts w:ascii="Times New Roman" w:hAnsi="Times New Roman" w:eastAsia="宋体"/>
          <w:sz w:val="21"/>
        </w:rPr>
        <w:t>作者姓名为粗体。</w:t>
      </w:r>
    </w:p>
    <w:p w14:paraId="3109F95E">
      <w:pPr>
        <w:pStyle w:val="16"/>
        <w:spacing w:after="40" w:line="276" w:lineRule="auto"/>
      </w:pPr>
      <w:r>
        <w:rPr>
          <w:rFonts w:ascii="Times New Roman" w:hAnsi="Times New Roman" w:eastAsia="宋体"/>
          <w:sz w:val="21"/>
        </w:rPr>
        <w:t>作者姓名行中心与正文区域中心的偏差不超过 8 pt。</w:t>
      </w:r>
    </w:p>
    <w:p w14:paraId="7E848256">
      <w:pPr>
        <w:pStyle w:val="16"/>
        <w:spacing w:after="40" w:line="276" w:lineRule="auto"/>
      </w:pPr>
      <w:r>
        <w:rPr>
          <w:rFonts w:ascii="Times New Roman" w:hAnsi="Times New Roman" w:eastAsia="宋体"/>
          <w:sz w:val="21"/>
        </w:rPr>
        <w:t>所有作者姓名位于同一行。</w:t>
      </w:r>
    </w:p>
    <w:p w14:paraId="34168C08">
      <w:pPr>
        <w:pStyle w:val="16"/>
        <w:spacing w:after="40" w:line="276" w:lineRule="auto"/>
      </w:pPr>
      <w:r>
        <w:rPr>
          <w:rFonts w:ascii="Times New Roman" w:hAnsi="Times New Roman" w:eastAsia="宋体"/>
          <w:sz w:val="21"/>
        </w:rPr>
        <w:t>单个作者姓名不得跨行。</w:t>
      </w:r>
    </w:p>
    <w:p w14:paraId="6678D950">
      <w:pPr>
        <w:pStyle w:val="16"/>
        <w:spacing w:after="40" w:line="276" w:lineRule="auto"/>
      </w:pPr>
      <w:r>
        <w:rPr>
          <w:rFonts w:ascii="Times New Roman" w:hAnsi="Times New Roman" w:eastAsia="宋体"/>
          <w:sz w:val="21"/>
        </w:rPr>
        <w:t>单位编号从 1 开始连续出现。</w:t>
      </w:r>
    </w:p>
    <w:p w14:paraId="4110CD99">
      <w:pPr>
        <w:pStyle w:val="16"/>
        <w:spacing w:after="40" w:line="276" w:lineRule="auto"/>
      </w:pPr>
      <w:r>
        <w:rPr>
          <w:rFonts w:ascii="Times New Roman" w:hAnsi="Times New Roman" w:eastAsia="宋体"/>
          <w:sz w:val="21"/>
        </w:rPr>
        <w:t>单位编号为上标且不加粗。</w:t>
      </w:r>
    </w:p>
    <w:p w14:paraId="55A77342">
      <w:pPr>
        <w:pStyle w:val="16"/>
        <w:spacing w:after="40" w:line="276" w:lineRule="auto"/>
      </w:pPr>
      <w:r>
        <w:rPr>
          <w:rFonts w:ascii="Times New Roman" w:hAnsi="Times New Roman" w:eastAsia="宋体"/>
          <w:sz w:val="21"/>
        </w:rPr>
        <w:t>单位信息集中在首页同一个脚注块中。</w:t>
      </w:r>
    </w:p>
    <w:p w14:paraId="3B4AEE00">
      <w:pPr>
        <w:pStyle w:val="16"/>
        <w:spacing w:after="40" w:line="276" w:lineRule="auto"/>
      </w:pPr>
      <w:r>
        <w:rPr>
          <w:rFonts w:ascii="Times New Roman" w:hAnsi="Times New Roman" w:eastAsia="宋体"/>
          <w:sz w:val="21"/>
        </w:rPr>
        <w:t>相同单位文本只出现一次。</w:t>
      </w:r>
    </w:p>
    <w:p w14:paraId="0B989D21">
      <w:pPr>
        <w:keepNext/>
        <w:spacing w:before="240" w:after="80"/>
      </w:pPr>
      <w:r>
        <w:rPr>
          <w:rFonts w:ascii="Times New Roman" w:hAnsi="Times New Roman" w:eastAsia="黑体"/>
          <w:b/>
          <w:color w:val="111827"/>
          <w:sz w:val="26"/>
        </w:rPr>
        <w:t>1</w:t>
      </w:r>
      <w:r>
        <w:rPr>
          <w:rFonts w:hint="eastAsia" w:eastAsia="黑体"/>
          <w:b/>
          <w:color w:val="111827"/>
          <w:sz w:val="26"/>
          <w:lang w:val="en-US" w:eastAsia="zh-CN"/>
        </w:rPr>
        <w:t>1</w:t>
      </w:r>
      <w:r>
        <w:rPr>
          <w:rFonts w:ascii="Times New Roman" w:hAnsi="Times New Roman" w:eastAsia="黑体"/>
          <w:b/>
          <w:color w:val="111827"/>
          <w:sz w:val="26"/>
        </w:rPr>
        <w:t>. 终稿摘要</w:t>
      </w:r>
      <w:bookmarkStart w:id="0" w:name="_GoBack"/>
      <w:bookmarkEnd w:id="0"/>
    </w:p>
    <w:p w14:paraId="1496751C">
      <w:pPr>
        <w:pStyle w:val="16"/>
        <w:spacing w:after="40" w:line="276" w:lineRule="auto"/>
      </w:pPr>
      <w:r>
        <w:rPr>
          <w:rFonts w:ascii="Times New Roman" w:hAnsi="Times New Roman" w:eastAsia="宋体"/>
          <w:sz w:val="21"/>
        </w:rPr>
        <w:t>摘要标题“Abstract”居中。</w:t>
      </w:r>
    </w:p>
    <w:p w14:paraId="2224577B">
      <w:pPr>
        <w:pStyle w:val="16"/>
        <w:spacing w:after="40" w:line="276" w:lineRule="auto"/>
      </w:pPr>
      <w:r>
        <w:rPr>
          <w:rFonts w:ascii="Times New Roman" w:hAnsi="Times New Roman" w:eastAsia="宋体"/>
          <w:sz w:val="21"/>
        </w:rPr>
        <w:t>摘要标题“Abstract”的字号：11.5–12.3 pt。</w:t>
      </w:r>
    </w:p>
    <w:p w14:paraId="24182732">
      <w:pPr>
        <w:pStyle w:val="16"/>
        <w:spacing w:after="40" w:line="276" w:lineRule="auto"/>
      </w:pPr>
      <w:r>
        <w:rPr>
          <w:rFonts w:ascii="Times New Roman" w:hAnsi="Times New Roman" w:eastAsia="宋体"/>
          <w:sz w:val="21"/>
        </w:rPr>
        <w:t>摘要标题“Abstract”的粗体字符比例至少为 0.9。</w:t>
      </w:r>
    </w:p>
    <w:p w14:paraId="3A90D10B">
      <w:pPr>
        <w:pStyle w:val="16"/>
        <w:spacing w:after="40" w:line="276" w:lineRule="auto"/>
      </w:pPr>
      <w:r>
        <w:rPr>
          <w:rFonts w:ascii="Times New Roman" w:hAnsi="Times New Roman" w:eastAsia="宋体"/>
          <w:sz w:val="21"/>
        </w:rPr>
        <w:t>摘要正文位于左栏。</w:t>
      </w:r>
    </w:p>
    <w:p w14:paraId="3CEB12A0">
      <w:pPr>
        <w:pStyle w:val="16"/>
        <w:spacing w:after="40" w:line="276" w:lineRule="auto"/>
      </w:pPr>
      <w:r>
        <w:rPr>
          <w:rFonts w:ascii="Times New Roman" w:hAnsi="Times New Roman" w:eastAsia="宋体"/>
          <w:sz w:val="21"/>
        </w:rPr>
        <w:t>摘要正文字号：9.5–10.5 pt。</w:t>
      </w:r>
    </w:p>
    <w:p w14:paraId="43F22CE5">
      <w:pPr>
        <w:pStyle w:val="16"/>
        <w:spacing w:after="40" w:line="276" w:lineRule="auto"/>
      </w:pPr>
      <w:r>
        <w:rPr>
          <w:rFonts w:ascii="Times New Roman" w:hAnsi="Times New Roman" w:eastAsia="宋体"/>
          <w:sz w:val="21"/>
        </w:rPr>
        <w:t>摘要正文的基线间距中位数：11–12.5 pt。</w:t>
      </w:r>
    </w:p>
    <w:p w14:paraId="0624E9AB">
      <w:pPr>
        <w:pStyle w:val="16"/>
        <w:spacing w:after="40" w:line="276" w:lineRule="auto"/>
      </w:pPr>
      <w:r>
        <w:rPr>
          <w:rFonts w:ascii="Times New Roman" w:hAnsi="Times New Roman" w:eastAsia="宋体"/>
          <w:sz w:val="21"/>
        </w:rPr>
        <w:t>摘要正文左侧额外缩进：15–21 pt。</w:t>
      </w:r>
    </w:p>
    <w:p w14:paraId="11B993C8">
      <w:pPr>
        <w:pStyle w:val="16"/>
        <w:spacing w:after="40" w:line="276" w:lineRule="auto"/>
      </w:pPr>
      <w:r>
        <w:rPr>
          <w:rFonts w:ascii="Times New Roman" w:hAnsi="Times New Roman" w:eastAsia="宋体"/>
          <w:sz w:val="21"/>
        </w:rPr>
        <w:t>摘要正文右侧额外缩进：15–21 pt。</w:t>
      </w:r>
    </w:p>
    <w:p w14:paraId="551D1611">
      <w:pPr>
        <w:pStyle w:val="16"/>
        <w:spacing w:after="40" w:line="276" w:lineRule="auto"/>
      </w:pPr>
      <w:r>
        <w:rPr>
          <w:rFonts w:ascii="Times New Roman" w:hAnsi="Times New Roman" w:eastAsia="宋体"/>
          <w:sz w:val="21"/>
        </w:rPr>
        <w:t>摘要由一个段落组成。</w:t>
      </w:r>
    </w:p>
    <w:p w14:paraId="0B551F75">
      <w:pPr>
        <w:pStyle w:val="16"/>
        <w:spacing w:after="40" w:line="276" w:lineRule="auto"/>
      </w:pPr>
      <w:r>
        <w:rPr>
          <w:rFonts w:ascii="Times New Roman" w:hAnsi="Times New Roman" w:eastAsia="宋体"/>
          <w:sz w:val="21"/>
        </w:rPr>
        <w:t>摘要正文结束后空白：26–32 pt。</w:t>
      </w:r>
    </w:p>
    <w:sectPr>
      <w:footerReference r:id="rId5" w:type="default"/>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UmePlus Gothic">
    <w:altName w:val="PMingLiU-ExtB"/>
    <w:panose1 w:val="02000609000000000000"/>
    <w:charset w:val="88"/>
    <w:family w:val="auto"/>
    <w:pitch w:val="default"/>
    <w:sig w:usb0="00000000" w:usb1="00000000" w:usb2="00000010" w:usb3="00000000" w:csb0="6012009F" w:csb1="9FD7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04619">
    <w:pPr>
      <w:pStyle w:val="24"/>
      <w:jc w:val="center"/>
    </w:pPr>
    <w:r>
      <w:rPr>
        <w:rFonts w:ascii="Times New Roman" w:hAnsi="Times New Roman" w:eastAsia="等线"/>
        <w:color w:val="6B7280"/>
        <w:sz w:val="16"/>
      </w:rPr>
      <w:t>ICML 2026 可验证格式规则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82FA2"/>
    <w:rsid w:val="418129DB"/>
    <w:rsid w:val="4F5A57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1565</Words>
  <Characters>2164</Characters>
  <Lines>0</Lines>
  <Paragraphs>0</Paragraphs>
  <TotalTime>13</TotalTime>
  <ScaleCrop>false</ScaleCrop>
  <LinksUpToDate>false</LinksUpToDate>
  <CharactersWithSpaces>2276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月夜悦烨</cp:lastModifiedBy>
  <dcterms:modified xsi:type="dcterms:W3CDTF">2026-07-23T12:34:54Z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eyJoZGlkIjoiYmU5ZDQ3MGU5NTQxNmIyY2VmYTdiYjQ3MmJlMTA4ZWQiLCJ1c2VySWQiOiIxMTI1OTQ5NTAyIn0=</vt:lpwstr>
  </property>
  <property fmtid="{D5CDD505-2E9C-101B-9397-08002B2CF9AE}" pid="3" name="KSOProductBuildVer">
    <vt:lpwstr>2052-12.1.0.26895</vt:lpwstr>
  </property>
  <property fmtid="{D5CDD505-2E9C-101B-9397-08002B2CF9AE}" pid="4" name="ICV">
    <vt:lpwstr>82718BB3531448108397162FD4F9073A_12</vt:lpwstr>
  </property>
</Properties>
</file>