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5E10D">
      <w:pPr>
        <w:spacing w:after="160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ICML 2026 可验证格式规则</w:t>
      </w:r>
    </w:p>
    <w:p w14:paraId="190CF340">
      <w:pPr>
        <w:spacing w:after="320"/>
        <w:jc w:val="center"/>
      </w:pPr>
      <w:r>
        <w:rPr>
          <w:rFonts w:ascii="Times New Roman" w:hAnsi="Times New Roman" w:eastAsia="等线"/>
          <w:color w:val="4B5563"/>
          <w:sz w:val="20"/>
        </w:rPr>
        <w:t>基于 MinerU 与 PyMuPDF 融合事实 JSON 的确定性检查版本</w:t>
      </w:r>
    </w:p>
    <w:p w14:paraId="2BA8FA58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1. 页面尺寸与正文</w:t>
      </w:r>
    </w:p>
    <w:p w14:paraId="191A6FFA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正文必须为双栏。</w:t>
      </w:r>
    </w:p>
    <w:p w14:paraId="4E2333E6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总宽度：486 ± 2 pt。</w:t>
      </w:r>
    </w:p>
    <w:p w14:paraId="3318E736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左栏起点：55.44 ± 2 pt。</w:t>
      </w:r>
    </w:p>
    <w:p w14:paraId="68A00316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右栏起点：307.44 ± 2 pt。</w:t>
      </w:r>
    </w:p>
    <w:p w14:paraId="33F99B2F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单栏宽度：234 ± 2 pt。</w:t>
      </w:r>
    </w:p>
    <w:p w14:paraId="3A3FD12B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栏间距：18 ± 2 pt。</w:t>
      </w:r>
    </w:p>
    <w:p w14:paraId="511CE140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正文字号众数：9.5–10.5 pt。</w:t>
      </w:r>
    </w:p>
    <w:p w14:paraId="1A45EFC0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基线间距中位数：11–12.5 pt。</w:t>
      </w:r>
    </w:p>
    <w:p w14:paraId="124E6B00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正文不得超出页面边界。</w:t>
      </w:r>
    </w:p>
    <w:p w14:paraId="7794D70B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正文、标题、章节标题、题注和参考文献字体必须属于下列正文文本字体白名单。</w:t>
      </w:r>
    </w:p>
    <w:p w14:paraId="09D3456F">
      <w:pPr>
        <w:spacing w:before="100" w:after="80"/>
      </w:pPr>
      <w:r>
        <w:rPr>
          <w:rFonts w:ascii="Times New Roman" w:hAnsi="Times New Roman" w:eastAsia="黑体"/>
          <w:b/>
          <w:sz w:val="21"/>
        </w:rPr>
        <w:t>正文文本字体白名单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DF6C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3F4F6"/>
          </w:tcPr>
          <w:p w14:paraId="45E63198">
            <w:pPr>
              <w:spacing w:after="0"/>
            </w:pPr>
            <w:r>
              <w:rPr>
                <w:rFonts w:ascii="Consolas" w:hAnsi="Consolas" w:eastAsia="等线"/>
                <w:sz w:val="18"/>
              </w:rPr>
              <w:t>Times-Roman</w:t>
            </w:r>
            <w:r>
              <w:rPr>
                <w:rFonts w:ascii="Consolas" w:hAnsi="Consolas" w:eastAsia="等线"/>
                <w:sz w:val="18"/>
              </w:rPr>
              <w:br w:type="textWrapping"/>
            </w:r>
            <w:r>
              <w:rPr>
                <w:rFonts w:ascii="Consolas" w:hAnsi="Consolas" w:eastAsia="等线"/>
                <w:sz w:val="18"/>
              </w:rPr>
              <w:t>Times-Bold</w:t>
            </w:r>
            <w:r>
              <w:rPr>
                <w:rFonts w:ascii="Consolas" w:hAnsi="Consolas" w:eastAsia="等线"/>
                <w:sz w:val="18"/>
              </w:rPr>
              <w:br w:type="textWrapping"/>
            </w:r>
            <w:r>
              <w:rPr>
                <w:rFonts w:ascii="Consolas" w:hAnsi="Consolas" w:eastAsia="等线"/>
                <w:sz w:val="18"/>
              </w:rPr>
              <w:t>Times-Italic</w:t>
            </w:r>
            <w:r>
              <w:rPr>
                <w:rFonts w:ascii="Consolas" w:hAnsi="Consolas" w:eastAsia="等线"/>
                <w:sz w:val="18"/>
              </w:rPr>
              <w:br w:type="textWrapping"/>
            </w:r>
            <w:r>
              <w:rPr>
                <w:rFonts w:ascii="Consolas" w:hAnsi="Consolas" w:eastAsia="等线"/>
                <w:sz w:val="18"/>
              </w:rPr>
              <w:t>Times-BoldItalic</w:t>
            </w:r>
            <w:r>
              <w:rPr>
                <w:rFonts w:ascii="Consolas" w:hAnsi="Consolas" w:eastAsia="等线"/>
                <w:sz w:val="18"/>
              </w:rPr>
              <w:br w:type="textWrapping"/>
            </w:r>
            <w:r>
              <w:rPr>
                <w:rFonts w:ascii="Consolas" w:hAnsi="Consolas" w:eastAsia="等线"/>
                <w:sz w:val="18"/>
              </w:rPr>
              <w:t>TimesNewRomanPSMT</w:t>
            </w:r>
            <w:r>
              <w:rPr>
                <w:rFonts w:ascii="Consolas" w:hAnsi="Consolas" w:eastAsia="等线"/>
                <w:sz w:val="18"/>
              </w:rPr>
              <w:br w:type="textWrapping"/>
            </w:r>
            <w:r>
              <w:rPr>
                <w:rFonts w:ascii="Consolas" w:hAnsi="Consolas" w:eastAsia="等线"/>
                <w:sz w:val="18"/>
              </w:rPr>
              <w:t>TimesNewRomanPS-BoldMT</w:t>
            </w:r>
            <w:r>
              <w:rPr>
                <w:rFonts w:ascii="Consolas" w:hAnsi="Consolas" w:eastAsia="等线"/>
                <w:sz w:val="18"/>
              </w:rPr>
              <w:br w:type="textWrapping"/>
            </w:r>
            <w:r>
              <w:rPr>
                <w:rFonts w:ascii="Consolas" w:hAnsi="Consolas" w:eastAsia="等线"/>
                <w:sz w:val="18"/>
              </w:rPr>
              <w:t>TimesNewRomanPS-ItalicMT</w:t>
            </w:r>
            <w:r>
              <w:rPr>
                <w:rFonts w:ascii="Consolas" w:hAnsi="Consolas" w:eastAsia="等线"/>
                <w:sz w:val="18"/>
              </w:rPr>
              <w:br w:type="textWrapping"/>
            </w:r>
            <w:r>
              <w:rPr>
                <w:rFonts w:ascii="Consolas" w:hAnsi="Consolas" w:eastAsia="等线"/>
                <w:sz w:val="18"/>
              </w:rPr>
              <w:t>TimesNewRomanPS-BoldItalicMT</w:t>
            </w:r>
            <w:r>
              <w:rPr>
                <w:rFonts w:ascii="Consolas" w:hAnsi="Consolas" w:eastAsia="等线"/>
                <w:sz w:val="18"/>
              </w:rPr>
              <w:br w:type="textWrapping"/>
            </w:r>
            <w:r>
              <w:rPr>
                <w:rFonts w:ascii="Consolas" w:hAnsi="Consolas" w:eastAsia="等线"/>
                <w:sz w:val="18"/>
              </w:rPr>
              <w:t>NimbusRomNo9L-Regu</w:t>
            </w:r>
            <w:r>
              <w:rPr>
                <w:rFonts w:ascii="Consolas" w:hAnsi="Consolas" w:eastAsia="等线"/>
                <w:sz w:val="18"/>
              </w:rPr>
              <w:br w:type="textWrapping"/>
            </w:r>
            <w:r>
              <w:rPr>
                <w:rFonts w:ascii="Consolas" w:hAnsi="Consolas" w:eastAsia="等线"/>
                <w:sz w:val="18"/>
              </w:rPr>
              <w:t>NimbusRomNo9L-Medi</w:t>
            </w:r>
            <w:r>
              <w:rPr>
                <w:rFonts w:ascii="Consolas" w:hAnsi="Consolas" w:eastAsia="等线"/>
                <w:sz w:val="18"/>
              </w:rPr>
              <w:br w:type="textWrapping"/>
            </w:r>
            <w:r>
              <w:rPr>
                <w:rFonts w:ascii="Consolas" w:hAnsi="Consolas" w:eastAsia="等线"/>
                <w:sz w:val="18"/>
              </w:rPr>
              <w:t>NimbusRomNo9L-ReguItal</w:t>
            </w:r>
            <w:r>
              <w:rPr>
                <w:rFonts w:ascii="Consolas" w:hAnsi="Consolas" w:eastAsia="等线"/>
                <w:sz w:val="18"/>
              </w:rPr>
              <w:br w:type="textWrapping"/>
            </w:r>
            <w:r>
              <w:rPr>
                <w:rFonts w:ascii="Consolas" w:hAnsi="Consolas" w:eastAsia="等线"/>
                <w:sz w:val="18"/>
              </w:rPr>
              <w:t>NimbusRomNo9L-MediItal</w:t>
            </w:r>
            <w:r>
              <w:rPr>
                <w:rFonts w:ascii="Consolas" w:hAnsi="Consolas" w:eastAsia="等线"/>
                <w:sz w:val="18"/>
              </w:rPr>
              <w:br w:type="textWrapping"/>
            </w:r>
            <w:r>
              <w:rPr>
                <w:rFonts w:ascii="Consolas" w:hAnsi="Consolas" w:eastAsia="等线"/>
                <w:sz w:val="18"/>
              </w:rPr>
              <w:t>NimbusRomNo9L-Regu-Slant</w:t>
            </w:r>
          </w:p>
        </w:tc>
      </w:tr>
    </w:tbl>
    <w:p w14:paraId="36A47DC4">
      <w:pPr>
        <w:spacing w:before="80" w:after="40"/>
      </w:pPr>
      <w:r>
        <w:rPr>
          <w:rFonts w:ascii="Times New Roman" w:hAnsi="Times New Roman" w:eastAsia="宋体"/>
          <w:b/>
          <w:sz w:val="20"/>
        </w:rPr>
        <w:t>数学内容允许字体：</w:t>
      </w:r>
      <w:r>
        <w:rPr>
          <w:rFonts w:ascii="Consolas" w:hAnsi="Consolas" w:eastAsia="等线"/>
          <w:sz w:val="19"/>
        </w:rPr>
        <w:t>CMR*、CMMI*、CMSY*、CambriaMath</w:t>
      </w:r>
    </w:p>
    <w:p w14:paraId="50A40517">
      <w:pPr>
        <w:spacing w:before="80" w:after="40"/>
      </w:pPr>
      <w:r>
        <w:rPr>
          <w:rFonts w:ascii="Times New Roman" w:hAnsi="Times New Roman" w:eastAsia="宋体"/>
          <w:b/>
          <w:sz w:val="20"/>
        </w:rPr>
        <w:t>代码和等宽文本允许字体：</w:t>
      </w:r>
      <w:r>
        <w:rPr>
          <w:rFonts w:ascii="Consolas" w:hAnsi="Consolas" w:eastAsia="等线"/>
          <w:sz w:val="19"/>
        </w:rPr>
        <w:t>CMTT*、NimbusMonL-Regu</w:t>
      </w:r>
    </w:p>
    <w:p w14:paraId="02CC1E30">
      <w:pPr>
        <w:spacing w:before="80" w:after="40"/>
      </w:pPr>
      <w:r>
        <w:rPr>
          <w:rFonts w:ascii="Times New Roman" w:hAnsi="Times New Roman" w:eastAsia="宋体"/>
          <w:b/>
          <w:sz w:val="20"/>
        </w:rPr>
        <w:t>符号字符允许字体：</w:t>
      </w:r>
      <w:r>
        <w:rPr>
          <w:rFonts w:ascii="Consolas" w:hAnsi="Consolas" w:eastAsia="等线"/>
          <w:sz w:val="19"/>
        </w:rPr>
        <w:t>Dingbats</w:t>
      </w:r>
    </w:p>
    <w:p w14:paraId="6190840C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2. 标题</w:t>
      </w:r>
    </w:p>
    <w:p w14:paraId="38571E6F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字号：13.8–14.8 pt。</w:t>
      </w:r>
    </w:p>
    <w:p w14:paraId="2D0C0215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粗体字符比例至少为 0.9。</w:t>
      </w:r>
    </w:p>
    <w:p w14:paraId="0BC9E4E8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标题中心与正文区域中心偏差不超过 8 pt。</w:t>
      </w:r>
    </w:p>
    <w:p w14:paraId="10C1AA6A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标题上下各有一条水平线。</w:t>
      </w:r>
    </w:p>
    <w:p w14:paraId="4287EB27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横线宽度：0.8–1.2 pt。</w:t>
      </w:r>
    </w:p>
    <w:p w14:paraId="27184FC5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上横线距页顶：70–75 pt。</w:t>
      </w:r>
    </w:p>
    <w:p w14:paraId="4BDA6932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内容词采用标题式大小写。</w:t>
      </w:r>
    </w:p>
    <w:p w14:paraId="0E6D8875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3. 章节标题</w:t>
      </w:r>
    </w:p>
    <w:p w14:paraId="1D2D438F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一级标题格式：1. Title。</w:t>
      </w:r>
    </w:p>
    <w:p w14:paraId="5853F39F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二级标题格式：1.1. Title。</w:t>
      </w:r>
    </w:p>
    <w:p w14:paraId="5BDB8EB2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三级标题格式：1.1.1. Title。</w:t>
      </w:r>
    </w:p>
    <w:p w14:paraId="45F7BBC6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一级字号：11.5–12.3 pt，粗体比例至少为 0.9。</w:t>
      </w:r>
    </w:p>
    <w:p w14:paraId="525806C7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二级字号：9.5–10.5 pt，粗体比例至少为 0.9。</w:t>
      </w:r>
    </w:p>
    <w:p w14:paraId="6A714CFE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三级字号：9.5–10.5 pt。</w:t>
      </w:r>
    </w:p>
    <w:p w14:paraId="77F06371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标题左边界与所在栏起点偏差不超过 3 pt。</w:t>
      </w:r>
    </w:p>
    <w:p w14:paraId="51351230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标题不得与相邻内容重叠。</w:t>
      </w:r>
    </w:p>
    <w:p w14:paraId="422C8914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标题最多三级。</w:t>
      </w:r>
    </w:p>
    <w:p w14:paraId="59CA547F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内容词采用标题式大小写。</w:t>
      </w:r>
    </w:p>
    <w:p w14:paraId="4A61388A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4. 图</w:t>
      </w:r>
    </w:p>
    <w:p w14:paraId="5C5FE279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图号从 1 开始连续编号。</w:t>
      </w:r>
    </w:p>
    <w:p w14:paraId="776675A1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图题位于图形下方。</w:t>
      </w:r>
    </w:p>
    <w:p w14:paraId="3727B9B5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图题字号：8.5–9.5 pt。</w:t>
      </w:r>
    </w:p>
    <w:p w14:paraId="411936D4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单行图题中心与所在栏或跨栏区域中心偏差不超过 8 pt。</w:t>
      </w:r>
    </w:p>
    <w:p w14:paraId="124B2477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多行图题左边界与所在栏或跨栏区域左边界偏差不超过 3 pt。</w:t>
      </w:r>
    </w:p>
    <w:p w14:paraId="18D70DBA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图形 bbox 必须位于正文区域内。</w:t>
      </w:r>
    </w:p>
    <w:p w14:paraId="7F71631E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5. 表</w:t>
      </w:r>
    </w:p>
    <w:p w14:paraId="4B115A24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表号从 1 开始连续编号。</w:t>
      </w:r>
    </w:p>
    <w:p w14:paraId="64FEA9CD">
      <w:pPr>
        <w:pStyle w:val="16"/>
        <w:spacing w:after="40" w:line="276" w:lineRule="auto"/>
      </w:pPr>
      <w:bookmarkStart w:id="0" w:name="_GoBack"/>
      <w:bookmarkEnd w:id="0"/>
      <w:r>
        <w:rPr>
          <w:rFonts w:ascii="Times New Roman" w:hAnsi="Times New Roman" w:eastAsia="宋体"/>
          <w:sz w:val="21"/>
        </w:rPr>
        <w:t>表题字号：8.5–9.5 pt。</w:t>
      </w:r>
    </w:p>
    <w:p w14:paraId="216A428E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单行表题中心与所在栏或跨栏区域中心偏差不超过 8 pt。</w:t>
      </w:r>
    </w:p>
    <w:p w14:paraId="2D50EE2E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多行表题左边界与所在栏或跨栏区域左边界偏差不超过 3 pt。</w:t>
      </w:r>
    </w:p>
    <w:p w14:paraId="64D5D3E3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表格 bbox 必须位于正文区域内。</w:t>
      </w:r>
    </w:p>
    <w:p w14:paraId="11470881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6. 参考文献</w:t>
      </w:r>
    </w:p>
    <w:p w14:paraId="610A5C01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正文引用主要采用作者—年份格式。</w:t>
      </w:r>
    </w:p>
    <w:p w14:paraId="0EF26BD5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数字引用格式不得占主要比例。</w:t>
      </w:r>
    </w:p>
    <w:p w14:paraId="4A716417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References 必须为无编号一级标题。</w:t>
      </w:r>
    </w:p>
    <w:p w14:paraId="5DAEB26F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悬挂缩进：8–12 pt。</w:t>
      </w:r>
    </w:p>
    <w:p w14:paraId="69AA404E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参考文献按第一作者姓氏排序。</w:t>
      </w:r>
    </w:p>
    <w:p w14:paraId="082AB048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每条参考文献必须包含可识别年份。</w:t>
      </w:r>
    </w:p>
    <w:p w14:paraId="411B2E81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7. 附录</w:t>
      </w:r>
    </w:p>
    <w:p w14:paraId="43109EEF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页面尺寸与正文一致。</w:t>
      </w:r>
    </w:p>
    <w:p w14:paraId="24747E02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正文使用规则 1 的字体白名单。</w:t>
      </w:r>
    </w:p>
    <w:p w14:paraId="3716D2C8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字号众数与正文差异不超过 0.5 pt。</w:t>
      </w:r>
    </w:p>
    <w:p w14:paraId="20BFD249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基线间距中位数与正文差异不超过 1 pt。</w:t>
      </w:r>
    </w:p>
    <w:p w14:paraId="6565913E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双栏附录的栏起点与正文差异不超过 2 pt。</w:t>
      </w:r>
    </w:p>
    <w:p w14:paraId="7E06C565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双栏附录的栏间距与正文差异不超过 2 pt。</w:t>
      </w:r>
    </w:p>
    <w:p w14:paraId="4A7910D0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页码存在状态和位置与正文一致。</w:t>
      </w:r>
    </w:p>
    <w:p w14:paraId="2FB8B941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附录标题采用 A.、B. 等连续编号。</w:t>
      </w:r>
    </w:p>
    <w:p w14:paraId="00B39D82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8. 初稿匿名</w:t>
      </w:r>
    </w:p>
    <w:p w14:paraId="12631A16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仅在初稿模式下执行。</w:t>
      </w:r>
    </w:p>
    <w:p w14:paraId="07F88DD4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标题下横线与 Abstract 标题之间不得存在身份信息块。</w:t>
      </w:r>
    </w:p>
    <w:p w14:paraId="4465E712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该区域只允许空白或 Anonymous Authors、Anonymous Submission、Under Review。</w:t>
      </w:r>
    </w:p>
    <w:p w14:paraId="3A346BAD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首页不得出现符合邮箱格式的文本。</w:t>
      </w:r>
    </w:p>
    <w:p w14:paraId="360264A8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首页不得出现 Correspondence to:。</w:t>
      </w:r>
    </w:p>
    <w:p w14:paraId="316A1D3C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首页不得出现 Proceedings of。</w:t>
      </w:r>
    </w:p>
    <w:p w14:paraId="468FD41B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首页不得出现 Copyright。</w:t>
      </w:r>
    </w:p>
    <w:p w14:paraId="54E1A35E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首页不得出现 ©。</w:t>
      </w:r>
    </w:p>
    <w:p w14:paraId="06D92247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检查采用固定区域定位和确定性正则匹配。</w:t>
      </w:r>
    </w:p>
    <w:p w14:paraId="0B1D8678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9. 初稿页数</w:t>
      </w:r>
    </w:p>
    <w:p w14:paraId="4D2A2EA1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main_body_page_count 不得超过 8。</w:t>
      </w:r>
    </w:p>
    <w:p w14:paraId="60988E8B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正文结束位置取 References 或第一个附录标题之前的最后一个正文块。</w:t>
      </w:r>
    </w:p>
    <w:p w14:paraId="0CC29C63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正文与 References 出现在同一页时，该页计为正文页。</w:t>
      </w:r>
    </w:p>
    <w:p w14:paraId="2062A910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10. 终稿页面</w:t>
      </w:r>
    </w:p>
    <w:p w14:paraId="2B9A08DB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每页宽度：612 ± 1 pt。</w:t>
      </w:r>
    </w:p>
    <w:p w14:paraId="4376E2B3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每页高度：792 ± 1 pt。</w:t>
      </w:r>
    </w:p>
    <w:p w14:paraId="2A2F6C04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页面旋转角度为 0。</w:t>
      </w:r>
    </w:p>
    <w:p w14:paraId="36B3DB2C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所有页面尺寸一致。</w:t>
      </w:r>
    </w:p>
    <w:p w14:paraId="62F31133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11. 终稿作者</w:t>
      </w:r>
    </w:p>
    <w:p w14:paraId="028985C0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作者信息位于标题下横线之后。</w:t>
      </w:r>
    </w:p>
    <w:p w14:paraId="4857A64E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作者姓名或上标距下横线：19–24 pt。</w:t>
      </w:r>
    </w:p>
    <w:p w14:paraId="514BE5EB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作者姓名字号：9.5–10.5 pt。</w:t>
      </w:r>
    </w:p>
    <w:p w14:paraId="79745067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作者姓名为粗体。</w:t>
      </w:r>
    </w:p>
    <w:p w14:paraId="3109F95E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作者行中心与正文区域中心偏差不超过 8 pt。</w:t>
      </w:r>
    </w:p>
    <w:p w14:paraId="7E848256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所有作者姓名位于同一行。</w:t>
      </w:r>
    </w:p>
    <w:p w14:paraId="34168C08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单个作者姓名不得跨行。</w:t>
      </w:r>
    </w:p>
    <w:p w14:paraId="6678D950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单位编号从 1 开始连续出现。</w:t>
      </w:r>
    </w:p>
    <w:p w14:paraId="4110CD99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单位编号为上标且不加粗。</w:t>
      </w:r>
    </w:p>
    <w:p w14:paraId="55A77342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单位信息集中在首页同一个脚注块中。</w:t>
      </w:r>
    </w:p>
    <w:p w14:paraId="3B4AEE00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相同单位文本只出现一次。</w:t>
      </w:r>
    </w:p>
    <w:p w14:paraId="0B989D21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12. 终稿摘要</w:t>
      </w:r>
    </w:p>
    <w:p w14:paraId="1496751C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Abstract 标题居中。</w:t>
      </w:r>
    </w:p>
    <w:p w14:paraId="2224577B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标题字号：11.5–12.3 pt。</w:t>
      </w:r>
    </w:p>
    <w:p w14:paraId="24182732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标题粗体比例至少为 0.9。</w:t>
      </w:r>
    </w:p>
    <w:p w14:paraId="3A90D10B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摘要正文位于左栏。</w:t>
      </w:r>
    </w:p>
    <w:p w14:paraId="3CEB12A0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正文字号：9.5–10.5 pt。</w:t>
      </w:r>
    </w:p>
    <w:p w14:paraId="43F22CE5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基线间距中位数：11–12.5 pt。</w:t>
      </w:r>
    </w:p>
    <w:p w14:paraId="0624E9AB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左侧额外缩进：15–21 pt。</w:t>
      </w:r>
    </w:p>
    <w:p w14:paraId="11B993C8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右侧额外缩进：15–21 pt。</w:t>
      </w:r>
    </w:p>
    <w:p w14:paraId="551D1611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摘要由一个段落组成。</w:t>
      </w:r>
    </w:p>
    <w:p w14:paraId="0B551F75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摘要后空白：26–32 pt。</w:t>
      </w:r>
    </w:p>
    <w:p w14:paraId="68A73DC9">
      <w:pPr>
        <w:keepNext/>
        <w:spacing w:before="240" w:after="80"/>
      </w:pPr>
      <w:r>
        <w:rPr>
          <w:rFonts w:ascii="Times New Roman" w:hAnsi="Times New Roman" w:eastAsia="黑体"/>
          <w:b/>
          <w:color w:val="111827"/>
          <w:sz w:val="26"/>
        </w:rPr>
        <w:t>13. 终稿页数</w:t>
      </w:r>
    </w:p>
    <w:p w14:paraId="6394FADD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main_body_page_count 不得超过 9。</w:t>
      </w:r>
    </w:p>
    <w:p w14:paraId="575B997B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正文结束位置取 References 或第一个附录标题之前的最后一个正文块。</w:t>
      </w:r>
    </w:p>
    <w:p w14:paraId="131C8AC5">
      <w:pPr>
        <w:pStyle w:val="16"/>
        <w:spacing w:after="40" w:line="276" w:lineRule="auto"/>
      </w:pPr>
      <w:r>
        <w:rPr>
          <w:rFonts w:ascii="Times New Roman" w:hAnsi="Times New Roman" w:eastAsia="宋体"/>
          <w:sz w:val="21"/>
        </w:rPr>
        <w:t>正文与 References 出现在同一页时，该页计为正文页。</w:t>
      </w:r>
    </w:p>
    <w:sectPr>
      <w:footerReference r:id="rId5" w:type="default"/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UmePlu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HanWangShinSuMediu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WangShinSuMedium">
    <w:panose1 w:val="02000500000000000000"/>
    <w:charset w:val="88"/>
    <w:family w:val="auto"/>
    <w:pitch w:val="default"/>
    <w:sig w:usb0="800000E3" w:usb1="38C9787A" w:usb2="00000016" w:usb3="00000000" w:csb0="00100000" w:csb1="8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04619">
    <w:pPr>
      <w:pStyle w:val="24"/>
      <w:jc w:val="center"/>
    </w:pPr>
    <w:r>
      <w:rPr>
        <w:rFonts w:ascii="Times New Roman" w:hAnsi="Times New Roman" w:eastAsia="等线"/>
        <w:color w:val="6B7280"/>
        <w:sz w:val="16"/>
      </w:rPr>
      <w:t>ICML 2026 可验证格式规则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8129DB"/>
    <w:rsid w:val="4F5A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1365</Words>
  <Characters>2056</Characters>
  <Lines>0</Lines>
  <Paragraphs>0</Paragraphs>
  <TotalTime>13</TotalTime>
  <ScaleCrop>false</ScaleCrop>
  <LinksUpToDate>false</LinksUpToDate>
  <CharactersWithSpaces>2187</CharactersWithSpaces>
  <Application>WPS Office_12.1.0.28040_F1E327BC-269C-435d-A152-05C5408002CA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0.0</cp:lastModifiedBy>
  <dcterms:modified xsi:type="dcterms:W3CDTF">2026-07-23T08:59:14Z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eyJoZGlkIjoiYTliNDdiNzBlZjI0MGUyNjI4ZDI1MTRiYzRiN2ZkNjQiLCJ1c2VySWQiOiIxMzQwNTE0NzgwIn0=</vt:lpwstr>
  </property>
  <property fmtid="{D5CDD505-2E9C-101B-9397-08002B2CF9AE}" pid="3" name="KSOProductBuildVer">
    <vt:lpwstr>2052-12.1.0.28040</vt:lpwstr>
  </property>
  <property fmtid="{D5CDD505-2E9C-101B-9397-08002B2CF9AE}" pid="4" name="ICV">
    <vt:lpwstr>82718BB3531448108397162FD4F9073A_12</vt:lpwstr>
  </property>
</Properties>
</file>