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left"/>
      </w:pPr>
      <w:r>
        <w:rPr>
          <w:rFonts w:ascii="Times New Roman" w:hAnsi="Times New Roman"/>
          <w:b/>
          <w:i w:val="0"/>
          <w:sz w:val="22"/>
          <w:u w:val="none"/>
          <w:spacing w:val="40"/>
        </w:rPr>
        <w:t>[Imię Nazwisko]</w:t>
      </w:r>
    </w:p>
    <w:p>
      <w:pPr>
        <w:spacing w:before="0" w:after="0"/>
        <w:jc w:val="left"/>
      </w:pPr>
      <w:r>
        <w:rPr>
          <w:rFonts w:ascii="Times New Roman" w:hAnsi="Times New Roman"/>
          <w:b w:val="0"/>
          <w:i w:val="0"/>
          <w:sz w:val="22"/>
          <w:u w:val="none"/>
        </w:rPr>
        <w:t>[Wydział / Uczelnia]</w:t>
      </w:r>
    </w:p>
    <w:p>
      <w:pPr>
        <w:spacing w:before="600" w:after="600"/>
        <w:jc w:val="center"/>
      </w:pPr>
      <w:r>
        <w:rPr>
          <w:rFonts w:ascii="Times New Roman" w:hAnsi="Times New Roman"/>
          <w:b/>
          <w:i w:val="0"/>
          <w:sz w:val="28"/>
          <w:u w:val="none"/>
          <w:spacing w:val="40"/>
        </w:rPr>
        <w:t>SYSTEM MONITOROWANIA SIECI IOT Z KLASYFIKACJĄ ATAKÓW METODAMI UCZENIA MASZYNOWEGO I MAPOWANIEM NA FRAMEWORK MITRE ATT&amp;CK</w:t>
      </w:r>
    </w:p>
    <w:p>
      <w:pPr>
        <w:spacing w:before="0" w:after="240"/>
        <w:jc w:val="center"/>
      </w:pPr>
      <w:r>
        <w:rPr>
          <w:rFonts w:ascii="Times New Roman" w:hAnsi="Times New Roman"/>
          <w:b/>
          <w:i w:val="0"/>
          <w:sz w:val="26"/>
          <w:u w:val="none"/>
        </w:rPr>
        <w:t>STRESZCZENIE</w:t>
      </w:r>
    </w:p>
    <w:p>
      <w:pPr>
        <w:spacing w:before="0" w:after="0"/>
        <w:ind w:firstLine="720"/>
        <w:jc w:val="both"/>
      </w:pPr>
      <w:r>
        <w:rPr>
          <w:rFonts w:ascii="Times New Roman" w:hAnsi="Times New Roman"/>
          <w:b w:val="0"/>
          <w:i w:val="0"/>
          <w:sz w:val="24"/>
          <w:u w:val="none"/>
        </w:rPr>
        <w:t>Artykuł opisuje projekt IoT Security Radar — lokalny system monitorowania sieci IoT z detekcją i klasyfikacją ataków w czasie rzeczywistym. System integruje stos Elastic (Filebeat, Logstash, Elasticsearch, Kibana) z modułem uczenia maszynowego opartym na algorytmie Random Forest, osiągając dokładność klasyfikacji na poziomie 97% dla dziewięciu klas zdarzeń sieciowych. Wdrożona architektura dwuindeksowa oddziela zdarzenia surowe od predykcji modelu, co umożliwia niezależną analizę trafności ground-truth i decyzji klasyfikatora. Każde zdarzenie ataku jest mapowane na taktyki i techniki frameworku MITRE ATT&amp;CK, dostarczając operatorom SOC kontekst niezbędny do priorytetyzacji reagowania. W procesie walidacji zindeksowano łącznie 55 280 zdarzeń z trzech źródeł: zbioru benchmarkowego NF-ToN-IoT-v2, symulowanych ataków oraz ruchu rzeczywistego przechwytanego przez tshark.</w:t>
      </w:r>
    </w:p>
    <w:p>
      <w:pPr>
        <w:spacing w:before="240" w:after="0"/>
        <w:jc w:val="left"/>
      </w:pPr>
      <w:r>
        <w:rPr>
          <w:rFonts w:ascii="Times New Roman" w:hAnsi="Times New Roman"/>
          <w:b w:val="0"/>
          <w:i w:val="0"/>
          <w:sz w:val="24"/>
          <w:u w:val="single"/>
        </w:rPr>
        <w:t>Słowa kluczowe:</w:t>
      </w:r>
    </w:p>
    <w:p>
      <w:pPr>
        <w:spacing w:before="120" w:after="0"/>
        <w:jc w:val="left"/>
      </w:pPr>
      <w:r>
        <w:rPr>
          <w:rFonts w:ascii="Times New Roman" w:hAnsi="Times New Roman"/>
          <w:b w:val="0"/>
          <w:i w:val="0"/>
          <w:sz w:val="24"/>
          <w:u w:val="none"/>
        </w:rPr>
        <w:t>bezpieczeństwo IoT, uczenie maszynowe, MITRE ATT&amp;CK, Elastic Stack, detekcja anomalii</w:t>
      </w:r>
    </w:p>
    <w:p>
      <w:pPr>
        <w:spacing w:before="240" w:after="240"/>
        <w:jc w:val="center"/>
      </w:pPr>
      <w:r>
        <w:rPr>
          <w:rFonts w:ascii="Times New Roman" w:hAnsi="Times New Roman"/>
          <w:b/>
          <w:i w:val="0"/>
          <w:sz w:val="26"/>
          <w:u w:val="none"/>
        </w:rPr>
        <w:t>WSTĘP</w:t>
      </w:r>
    </w:p>
    <w:p>
      <w:pPr>
        <w:spacing w:before="0" w:after="0"/>
        <w:ind w:firstLine="720"/>
        <w:jc w:val="both"/>
      </w:pPr>
      <w:r>
        <w:rPr>
          <w:rFonts w:ascii="Times New Roman" w:hAnsi="Times New Roman"/>
          <w:b w:val="0"/>
          <w:i w:val="0"/>
          <w:sz w:val="24"/>
          <w:u w:val="none"/>
        </w:rPr>
        <w:t>Dynamiczny wzrost liczby urządzeń Internetu Rzeczy (IoT) — szacowany na ponad 15 miliardów połączonych urządzeń w 2025 roku — tworzy rozległą powierzchnię ataku szczególnie narażoną na działania cyberprzestępców. Urządzenia IoT charakteryzują się ograniczonymi zasobami obliczeniowymi, rzadko aktualizowanym oprogramowaniem układowym oraz heterogenicznymi protokołami komunikacyjnymi, co znacząco utrudnia ich ochronę przy użyciu klasycznych narzędzi bezpieczeństwa sieci.</w:t>
      </w:r>
    </w:p>
    <w:p>
      <w:pPr>
        <w:spacing w:before="0" w:after="0"/>
        <w:ind w:firstLine="720"/>
        <w:jc w:val="both"/>
      </w:pPr>
      <w:r>
        <w:rPr>
          <w:rFonts w:ascii="Times New Roman" w:hAnsi="Times New Roman"/>
          <w:b w:val="0"/>
          <w:i w:val="0"/>
          <w:sz w:val="24"/>
          <w:u w:val="none"/>
        </w:rPr>
        <w:t>Istniejące rozwiązania klasy SIEM (Security Information and Event Management) są zazwyczaj dedykowane dużym infrastrukturom korporacyjnym — ich koszt licencyjny i złożoność wdrożeniowa eliminuje je z zastosowań w małych sieciach domowych i laboratoryjnych. Brakuje rozwiązania, które w jednym środowisku Docker łączyłoby zbieranie ruchu, klasyfikację ML i kontekst operacyjny w postaci frameworku MITRE ATT&amp;CK.</w:t>
      </w:r>
    </w:p>
    <w:p>
      <w:pPr>
        <w:spacing w:before="0" w:after="0"/>
        <w:ind w:firstLine="720"/>
        <w:jc w:val="both"/>
      </w:pPr>
      <w:r>
        <w:rPr>
          <w:rFonts w:ascii="Times New Roman" w:hAnsi="Times New Roman"/>
          <w:b w:val="0"/>
          <w:i w:val="0"/>
          <w:sz w:val="24"/>
          <w:u w:val="none"/>
        </w:rPr>
        <w:t>Celem niniejszego artykułu jest zaprojektowanie, wdrożenie i walidacja lokalnego systemu monitorowania sieci IoT z automatyczną klasyfikacją ataków metodami uczenia maszynowego i mapowaniem zdarzeń na taktyki oraz techniki MITRE ATT&amp;CK. Przedmiotem rozważań jest bezpieczeństwo sieci IoT ze szczególnym uwzględnieniem możliwości detekcji anomalii w ruchu sieciowym bez użycia zewnętrznych usług chmurowych.</w:t>
      </w:r>
    </w:p>
    <w:p>
      <w:pPr>
        <w:spacing w:before="0" w:after="0"/>
        <w:ind w:firstLine="720"/>
        <w:jc w:val="both"/>
      </w:pPr>
      <w:r>
        <w:rPr>
          <w:rFonts w:ascii="Times New Roman" w:hAnsi="Times New Roman"/>
          <w:b w:val="0"/>
          <w:i w:val="0"/>
          <w:sz w:val="24"/>
          <w:u w:val="none"/>
        </w:rPr>
        <w:t>W pracy zastosowano metodologię eksperymentalną: zbudowano działający system, przetestowano go na danych benchmarkowych (NF-ToN-IoT-v2) oraz na ruchu rzeczywistym, a następnie porównano wyniki klasyfikatora z etykietami ground-truth. Analizę porównawczą uzupełniono wnioskowaniem przez analogię — spostrzeżenia ze środowiska laboratoryjnego odniesiono do scenariuszy produkcyjnych. Artykuł jest podzielony na pięć rozdziałów: charakterystykę zagrożeń IoT, opis architektury systemu, zbieranie i przetwarzanie danych, klasyfikację ML oraz weryfikację systemu w warunkach zbliżonych do rzeczywistych.</w:t>
      </w:r>
    </w:p>
    <w:p>
      <w:pPr>
        <w:spacing w:before="240" w:after="240"/>
        <w:jc w:val="center"/>
      </w:pPr>
      <w:r>
        <w:rPr>
          <w:rFonts w:ascii="Times New Roman" w:hAnsi="Times New Roman"/>
          <w:b/>
          <w:i w:val="0"/>
          <w:sz w:val="26"/>
          <w:u w:val="none"/>
        </w:rPr>
        <w:t>1. ZAGROŻENIA BEZPIECZEŃSTWA W SIECIACH IOT</w:t>
      </w:r>
    </w:p>
    <w:p>
      <w:pPr>
        <w:spacing w:before="240" w:after="240"/>
        <w:jc w:val="center"/>
      </w:pPr>
      <w:r>
        <w:rPr>
          <w:rFonts w:ascii="Times New Roman" w:hAnsi="Times New Roman"/>
          <w:b w:val="0"/>
          <w:i w:val="0"/>
          <w:sz w:val="26"/>
          <w:u w:val="none"/>
        </w:rPr>
        <w:t>1.1 Specyfika zagrożeń IoT</w:t>
      </w:r>
    </w:p>
    <w:p>
      <w:pPr>
        <w:spacing w:before="0" w:after="0"/>
        <w:ind w:firstLine="720"/>
        <w:jc w:val="both"/>
      </w:pPr>
      <w:r>
        <w:rPr>
          <w:rFonts w:ascii="Times New Roman" w:hAnsi="Times New Roman"/>
          <w:b w:val="0"/>
          <w:i w:val="0"/>
          <w:sz w:val="24"/>
          <w:u w:val="none"/>
        </w:rPr>
        <w:t>Urządzenia IoT funkcjonują w warunkach fundamentalnie odmiennych od klasycznych stacji roboczych czy serwerów. Ograniczone zasoby obliczeniowe (CPU, RAM, flash), brak mechanizmów aktualizacji oprogramowania układowego oraz niejednorodność protokołów komunikacyjnych (Zigbee, Z-Wave, MQTT, CoAP, HTTP) sprawiają, że tradycyjne narzędzia bezpieczeństwa sieci — takie jak agenty endpoint detection and response (EDR) — są niepraktyczne lub niemożliwe do wdrożenia na samych urządzeniach. Ochrona musi odbywać się na poziomie sieci.</w:t>
      </w:r>
    </w:p>
    <w:p>
      <w:pPr>
        <w:spacing w:before="0" w:after="0"/>
        <w:ind w:firstLine="720"/>
        <w:jc w:val="both"/>
      </w:pPr>
      <w:r>
        <w:rPr>
          <w:rFonts w:ascii="Times New Roman" w:hAnsi="Times New Roman"/>
          <w:b w:val="0"/>
          <w:i w:val="0"/>
          <w:sz w:val="24"/>
          <w:u w:val="none"/>
        </w:rPr>
        <w:t>Na podstawie analizy zbioru NF-ToN-IoT-v2 oraz przeglądu literatury wyróżniono następujące kategorie ataków charakterystyczne dla sieci IoT:</w:t>
      </w:r>
    </w:p>
    <w:p>
      <w:pPr>
        <w:spacing w:before="120" w:after="0"/>
        <w:jc w:val="both"/>
      </w:pPr>
      <w:r>
        <w:rPr>
          <w:rFonts w:ascii="Times New Roman" w:hAnsi="Times New Roman"/>
          <w:b w:val="0"/>
          <w:i w:val="0"/>
          <w:sz w:val="24"/>
          <w:u w:val="none"/>
        </w:rPr>
        <w:t>– ataki DDoS/DoS (Direct Network Flood, OS Exhaustion Flood) — przeciążenie zasobów sieciowych i obliczeniowych urządzeń;</w:t>
      </w:r>
    </w:p>
    <w:p>
      <w:pPr>
        <w:spacing w:before="0" w:after="0"/>
        <w:jc w:val="both"/>
      </w:pPr>
      <w:r>
        <w:rPr>
          <w:rFonts w:ascii="Times New Roman" w:hAnsi="Times New Roman"/>
          <w:b w:val="0"/>
          <w:i w:val="0"/>
          <w:sz w:val="24"/>
          <w:u w:val="none"/>
        </w:rPr>
        <w:t>– brute force (SSH, HTTP) — łamanie haseł przez iterację słownikową;</w:t>
      </w:r>
    </w:p>
    <w:p>
      <w:pPr>
        <w:spacing w:before="0" w:after="0"/>
        <w:jc w:val="both"/>
      </w:pPr>
      <w:r>
        <w:rPr>
          <w:rFonts w:ascii="Times New Roman" w:hAnsi="Times New Roman"/>
          <w:b w:val="0"/>
          <w:i w:val="0"/>
          <w:sz w:val="24"/>
          <w:u w:val="none"/>
        </w:rPr>
        <w:t>– skanowanie portów (port scan) — rozpoznanie topologii sieci i otwartych usług;</w:t>
      </w:r>
    </w:p>
    <w:p>
      <w:pPr>
        <w:spacing w:before="0" w:after="0"/>
        <w:jc w:val="both"/>
      </w:pPr>
      <w:r>
        <w:rPr>
          <w:rFonts w:ascii="Times New Roman" w:hAnsi="Times New Roman"/>
          <w:b w:val="0"/>
          <w:i w:val="0"/>
          <w:sz w:val="24"/>
          <w:u w:val="none"/>
        </w:rPr>
        <w:t>– ataki injection (SQL, command injection) — wstrzykiwanie złośliwego kodu przez podatne interfejsy;</w:t>
      </w:r>
    </w:p>
    <w:p>
      <w:pPr>
        <w:spacing w:before="0" w:after="0"/>
        <w:jc w:val="both"/>
      </w:pPr>
      <w:r>
        <w:rPr>
          <w:rFonts w:ascii="Times New Roman" w:hAnsi="Times New Roman"/>
          <w:b w:val="0"/>
          <w:i w:val="0"/>
          <w:sz w:val="24"/>
          <w:u w:val="none"/>
        </w:rPr>
        <w:t>– DNS exfiltration — wyprowadzanie danych kanałem DNS;</w:t>
      </w:r>
    </w:p>
    <w:p>
      <w:pPr>
        <w:spacing w:before="0" w:after="0"/>
        <w:jc w:val="both"/>
      </w:pPr>
      <w:r>
        <w:rPr>
          <w:rFonts w:ascii="Times New Roman" w:hAnsi="Times New Roman"/>
          <w:b w:val="0"/>
          <w:i w:val="0"/>
          <w:sz w:val="24"/>
          <w:u w:val="none"/>
        </w:rPr>
        <w:t>– XSS (Cross-Site Scripting) — ataki na interfejsy webowe urządzeń zarządzających;</w:t>
      </w:r>
    </w:p>
    <w:p>
      <w:pPr>
        <w:spacing w:before="0" w:after="120"/>
        <w:jc w:val="both"/>
      </w:pPr>
      <w:r>
        <w:rPr>
          <w:rFonts w:ascii="Times New Roman" w:hAnsi="Times New Roman"/>
          <w:b w:val="0"/>
          <w:i w:val="0"/>
          <w:sz w:val="24"/>
          <w:u w:val="none"/>
        </w:rPr>
        <w:t>– backdoor — instalacja trwałego dostępu poprzez webshell lub zmodyfikowane oprogramowanie układowe.</w:t>
      </w:r>
    </w:p>
    <w:p>
      <w:pPr>
        <w:spacing w:before="0" w:after="0"/>
        <w:ind w:firstLine="720"/>
        <w:jc w:val="both"/>
      </w:pPr>
      <w:r>
        <w:rPr>
          <w:rFonts w:ascii="Times New Roman" w:hAnsi="Times New Roman"/>
          <w:b w:val="0"/>
          <w:i w:val="0"/>
          <w:sz w:val="24"/>
          <w:u w:val="none"/>
        </w:rPr>
        <w:t>Badania Koroniotis i wsp. wskazują, że ataki na sieci IoT są coraz częściej prowadzone w sposób automatyczny przez botnety złożone z zainfekowanych urządzeń, co dodatkowo utrudnia ich detekcję na podstawie sygnatur statycznych.</w:t>
      </w:r>
    </w:p>
    <w:p>
      <w:pPr>
        <w:spacing w:before="240" w:after="240"/>
        <w:jc w:val="center"/>
      </w:pPr>
      <w:r>
        <w:rPr>
          <w:rFonts w:ascii="Times New Roman" w:hAnsi="Times New Roman"/>
          <w:b w:val="0"/>
          <w:i w:val="0"/>
          <w:sz w:val="26"/>
          <w:u w:val="none"/>
        </w:rPr>
        <w:t>1.2 Framework MITRE ATT&amp;CK jako narzędzie klasyfikacji</w:t>
      </w:r>
    </w:p>
    <w:p>
      <w:pPr>
        <w:spacing w:before="0" w:after="0"/>
        <w:ind w:firstLine="720"/>
        <w:jc w:val="both"/>
      </w:pPr>
      <w:r>
        <w:rPr>
          <w:rFonts w:ascii="Times New Roman" w:hAnsi="Times New Roman"/>
          <w:b w:val="0"/>
          <w:i w:val="0"/>
          <w:sz w:val="24"/>
          <w:u w:val="none"/>
        </w:rPr>
        <w:t>MITRE ATT&amp;CK (Adversarial Tactics, Techniques, and Common Knowledge) jest publicznie dostępnym frameworkiem taksonomicznym opisującym zachowania atakujących na każdym etapie operacji ofensywnych. Framework systematyzuje wiedzę o taktykach (wysokopoziomowy cel, np. Initial Access, Persistence, Exfiltration), technikach (metoda realizacji celu, np. T1046 Network Service Discovery) oraz procedurach (konkretne implementacje). Zastosowanie frameworku ATT&amp;CK jako warstwy semantycznej dla wyników klasyfikatora ML pozwala przekształcić surowy alert sieciowy w informację operacyjną zrozumiałą dla analityka SOC.</w:t>
      </w:r>
    </w:p>
    <w:p>
      <w:pPr>
        <w:spacing w:before="0" w:after="0"/>
        <w:ind w:firstLine="720"/>
        <w:jc w:val="both"/>
      </w:pPr>
      <w:r>
        <w:rPr>
          <w:rFonts w:ascii="Times New Roman" w:hAnsi="Times New Roman"/>
          <w:b w:val="0"/>
          <w:i w:val="0"/>
          <w:sz w:val="24"/>
          <w:u w:val="none"/>
        </w:rPr>
        <w:t>W niniejszym systemie każda klasa ataku jest mapowana statycznie na odpowiednią taktykę i technikę ATT&amp;CK. W tabeli 2 (rozdział 4) zestawiono kompletne mapowanie dla dziewięciu klas klasyfikatora wraz z poziomem krytyczności (severity), który jest podstawą priorytetyzacji alertów w dashboardzie Kibana. Użyte techniki obejmują m.in. T1046 (Discovery), T1110.001 (Credential Access), T1048.001 (Exfiltration), T1498.001 i T1499.001 (Impact), T1059 (Execution) oraz T1505.003 (Persistence).</w:t>
      </w:r>
    </w:p>
    <w:p>
      <w:pPr>
        <w:spacing w:before="240" w:after="240"/>
        <w:jc w:val="center"/>
      </w:pPr>
      <w:r>
        <w:rPr>
          <w:rFonts w:ascii="Times New Roman" w:hAnsi="Times New Roman"/>
          <w:b/>
          <w:i w:val="0"/>
          <w:sz w:val="26"/>
          <w:u w:val="none"/>
        </w:rPr>
        <w:t>2. ARCHITEKTURA SYSTEMU IOT SECURITY RADAR</w:t>
      </w:r>
    </w:p>
    <w:p>
      <w:pPr>
        <w:spacing w:before="240" w:after="240"/>
        <w:jc w:val="center"/>
      </w:pPr>
      <w:r>
        <w:rPr>
          <w:rFonts w:ascii="Times New Roman" w:hAnsi="Times New Roman"/>
          <w:b w:val="0"/>
          <w:i w:val="0"/>
          <w:sz w:val="26"/>
          <w:u w:val="none"/>
        </w:rPr>
        <w:t>2.1 Przegląd komponentów</w:t>
      </w:r>
    </w:p>
    <w:p>
      <w:pPr>
        <w:spacing w:before="0" w:after="0"/>
        <w:ind w:firstLine="720"/>
        <w:jc w:val="both"/>
      </w:pPr>
      <w:r>
        <w:rPr>
          <w:rFonts w:ascii="Times New Roman" w:hAnsi="Times New Roman"/>
          <w:b w:val="0"/>
          <w:i w:val="0"/>
          <w:sz w:val="24"/>
          <w:u w:val="none"/>
        </w:rPr>
        <w:t>System IoT Security Radar składa się z czterech warstw logicznych: zbierania danych, przetwarzania i indeksowania, klasyfikacji ML oraz wizualizacji i alertowania. Przepływ danych ilustruje rysunek 1.</w:t>
      </w:r>
    </w:p>
    <w:p>
      <w:pPr>
        <w:spacing w:before="120" w:after="0"/>
        <w:jc w:val="both"/>
      </w:pPr>
    </w:p>
    <w:p>
      <w:pPr>
        <w:spacing w:before="0" w:after="0"/>
        <w:jc w:val="center"/>
      </w:pPr>
      <w:r>
        <w:rPr>
          <w:rFonts w:ascii="Courier New" w:hAnsi="Courier New"/>
          <w:b w:val="0"/>
          <w:i w:val="0"/>
          <w:sz w:val="18"/>
          <w:u w:val="none"/>
        </w:rPr>
        <w:t>┌─────────────────────────────────────────────────────────┐</w:t>
        <w:br/>
        <w:t>│                   ŹRÓDŁA DANYCH                         │</w:t>
        <w:br/>
        <w:t>│  [Router WiFi]  [Urządzenia IoT]  [Symulowane ataki]    │</w:t>
        <w:br/>
        <w:t>│                       ▼                                  │</w:t>
        <w:br/>
        <w:t>│              ┌─────────────┐                             │</w:t>
        <w:br/>
        <w:t>│              │  FILEBEAT   │  zbieranie i przesyłanie    │</w:t>
        <w:br/>
        <w:t>│              └──────┬──────┘  (TLS, beats protocol)      │</w:t>
        <w:br/>
        <w:t>│                     ▼                                    │</w:t>
        <w:br/>
        <w:t>│              ┌─────────────┐                             │</w:t>
        <w:br/>
        <w:t>│              │  LOGSTASH   │  parsowanie, wzbogacanie    │</w:t>
        <w:br/>
        <w:t>│              └──────┬──────┘  (pipeline NDJSON → ES)     │</w:t>
        <w:br/>
        <w:t>│                     ▼                                    │</w:t>
        <w:br/>
        <w:t>│         ┌────────────────────┐                           │</w:t>
        <w:br/>
        <w:t>│         │  ELASTICSEARCH     │  indeksowanie, TLS+xpack  │</w:t>
        <w:br/>
        <w:t>│         └───────┬────────────┘                           │</w:t>
        <w:br/>
        <w:t>│          ▼               ▼                               │</w:t>
        <w:br/>
        <w:t>│    ┌──────────┐  ┌────────────────┐                      │</w:t>
        <w:br/>
        <w:t>│    │  KIBANA  │  │  PYTHON ML     │  Random Forest +     │</w:t>
        <w:br/>
        <w:t>│    │ Dashboards│  │  (classifier)  │  MITRE ATT&amp;CK map   │</w:t>
        <w:br/>
        <w:t>│    └──────────┘  └────────────────┘                      │</w:t>
        <w:br/>
        <w:t>│         Docker Compose + mTLS (wildcard *.local)         │</w:t>
        <w:br/>
        <w:t>└─────────────────────────────────────────────────────────┘</w:t>
      </w:r>
    </w:p>
    <w:p>
      <w:pPr>
        <w:spacing w:before="120" w:after="240"/>
        <w:jc w:val="center"/>
      </w:pPr>
      <w:r>
        <w:rPr>
          <w:rFonts w:ascii="Times New Roman" w:hAnsi="Times New Roman"/>
          <w:b w:val="0"/>
          <w:i w:val="0"/>
          <w:sz w:val="20"/>
          <w:u w:val="none"/>
        </w:rPr>
        <w:t>Rys. 1. Architektura systemu IoT Security Radar (opracowanie własne)</w:t>
      </w:r>
    </w:p>
    <w:p>
      <w:pPr>
        <w:spacing w:before="240" w:after="240"/>
        <w:jc w:val="center"/>
      </w:pPr>
      <w:r>
        <w:rPr>
          <w:rFonts w:ascii="Times New Roman" w:hAnsi="Times New Roman"/>
          <w:b w:val="0"/>
          <w:i w:val="0"/>
          <w:sz w:val="26"/>
          <w:u w:val="none"/>
        </w:rPr>
        <w:t>2.2 Elastic Stack i bezpieczeństwo komunikacji</w:t>
      </w:r>
    </w:p>
    <w:p>
      <w:pPr>
        <w:spacing w:before="0" w:after="0"/>
        <w:ind w:firstLine="720"/>
        <w:jc w:val="both"/>
      </w:pPr>
      <w:r>
        <w:rPr>
          <w:rFonts w:ascii="Times New Roman" w:hAnsi="Times New Roman"/>
          <w:b w:val="0"/>
          <w:i w:val="0"/>
          <w:sz w:val="24"/>
          <w:u w:val="none"/>
        </w:rPr>
        <w:t>Elasticsearch 8.17.0 pełni rolę centralnego repozytorium zdarzeń. Skonfigurowany w trybie single-node z włączonymi mechanizmami xpack.security, indeksuje zdarzenia w formacie NDJSON. Dwa indeksy logiczne — iot-radar-* (surowe zdarzenia z etykietami ground-truth) oraz iot-radar-predictions (wyniki klasyfikatora ML) — realizują architekturę dwuindeksową opisaną szczegółowo w rozdziale 3.</w:t>
      </w:r>
    </w:p>
    <w:p>
      <w:pPr>
        <w:spacing w:before="0" w:after="0"/>
        <w:ind w:firstLine="720"/>
        <w:jc w:val="both"/>
      </w:pPr>
      <w:r>
        <w:rPr>
          <w:rFonts w:ascii="Times New Roman" w:hAnsi="Times New Roman"/>
          <w:b w:val="0"/>
          <w:i w:val="0"/>
          <w:sz w:val="24"/>
          <w:u w:val="none"/>
        </w:rPr>
        <w:t>Logstash przetwarza zdarzenia w pipeline: wejście beats (port 5044, mTLS) → filtr mutate (normalizacja pól, tagowanie źródła data_source) → wyjście Elasticsearch. Konfiguracja unika konfliktu z domyślnym plikiem logstash.conf dostarczanym przez obraz Docker poprzez montowanie całego katalogu conf.d/.</w:t>
      </w:r>
    </w:p>
    <w:p>
      <w:pPr>
        <w:spacing w:before="0" w:after="0"/>
        <w:ind w:firstLine="720"/>
        <w:jc w:val="both"/>
      </w:pPr>
      <w:r>
        <w:rPr>
          <w:rFonts w:ascii="Times New Roman" w:hAnsi="Times New Roman"/>
          <w:b w:val="0"/>
          <w:i w:val="0"/>
          <w:sz w:val="24"/>
          <w:u w:val="none"/>
        </w:rPr>
        <w:t>Filebeat 8.17.0 zbiera pliki NDJSON z katalogu sample-logs/ i przesyła je do Logstasha przez szyfrowany kanał TLS (certyfikat wildcard *.local). Mechanizm rejestru (filebeat-registry volume) zapobiega ponownemu wysyłaniu już przetworzonych zdarzeń po restarcie kontenera.</w:t>
      </w:r>
    </w:p>
    <w:p>
      <w:pPr>
        <w:spacing w:before="0" w:after="0"/>
        <w:ind w:firstLine="720"/>
        <w:jc w:val="both"/>
      </w:pPr>
      <w:r>
        <w:rPr>
          <w:rFonts w:ascii="Times New Roman" w:hAnsi="Times New Roman"/>
          <w:b w:val="0"/>
          <w:i w:val="0"/>
          <w:sz w:val="24"/>
          <w:u w:val="none"/>
        </w:rPr>
        <w:t>Kibana udostępnia dwa dashboardy: SOC Dashboard (ground truth, rozkład typów ataków, mapa taktyk MITRE) oraz ML Predictions Dashboard (predykcje modelu, confidence, breakdown po taktykach ATT&amp;CK). Alerty są skonfigurowane dla zdarzeń o severity=critical i severity=high.</w:t>
      </w:r>
    </w:p>
    <w:p>
      <w:pPr>
        <w:spacing w:before="0" w:after="0"/>
        <w:ind w:firstLine="720"/>
        <w:jc w:val="both"/>
      </w:pPr>
      <w:r>
        <w:rPr>
          <w:rFonts w:ascii="Times New Roman" w:hAnsi="Times New Roman"/>
          <w:b w:val="0"/>
          <w:i w:val="0"/>
          <w:sz w:val="24"/>
          <w:u w:val="none"/>
        </w:rPr>
        <w:t>Bezpieczeństwo komunikacji zapewniają wzajemne uwierzytelnianie TLS (mTLS) z certyfikatami PEM (wildcard *.local, passphrase abcd1234) oraz mechanizm xpack.security Elasticsearch z dedykowanymi kontami (elastic, kibana_system). Wszystkie usługi są izolowane w sieci Docker, bez ekspozycji portów wewnętrznych na zewnątrz.</w:t>
      </w:r>
    </w:p>
    <w:p>
      <w:pPr>
        <w:spacing w:before="240" w:after="240"/>
        <w:jc w:val="center"/>
      </w:pPr>
      <w:r>
        <w:rPr>
          <w:rFonts w:ascii="Times New Roman" w:hAnsi="Times New Roman"/>
          <w:b/>
          <w:i w:val="0"/>
          <w:sz w:val="26"/>
          <w:u w:val="none"/>
        </w:rPr>
        <w:t>3. ZBIERANIE I PRZETWARZANIE DANYCH SIECIOWYCH</w:t>
      </w:r>
    </w:p>
    <w:p>
      <w:pPr>
        <w:spacing w:before="240" w:after="240"/>
        <w:jc w:val="center"/>
      </w:pPr>
      <w:r>
        <w:rPr>
          <w:rFonts w:ascii="Times New Roman" w:hAnsi="Times New Roman"/>
          <w:b w:val="0"/>
          <w:i w:val="0"/>
          <w:sz w:val="26"/>
          <w:u w:val="none"/>
        </w:rPr>
        <w:t>3.1 Metody pozyskiwania danych</w:t>
      </w:r>
    </w:p>
    <w:p>
      <w:pPr>
        <w:spacing w:before="0" w:after="0"/>
        <w:ind w:firstLine="720"/>
        <w:jc w:val="both"/>
      </w:pPr>
      <w:r>
        <w:rPr>
          <w:rFonts w:ascii="Times New Roman" w:hAnsi="Times New Roman"/>
          <w:b w:val="0"/>
          <w:i w:val="0"/>
          <w:sz w:val="24"/>
          <w:u w:val="none"/>
        </w:rPr>
        <w:t>W systemie zaimplementowano trzy ścieżki pozyskiwania danych o różnym charakterze i przeznaczeniu.</w:t>
      </w:r>
    </w:p>
    <w:p>
      <w:pPr>
        <w:spacing w:before="0" w:after="0"/>
        <w:ind w:firstLine="720"/>
        <w:jc w:val="both"/>
      </w:pPr>
      <w:r>
        <w:rPr>
          <w:rFonts w:ascii="Times New Roman" w:hAnsi="Times New Roman"/>
          <w:b w:val="0"/>
          <w:i w:val="0"/>
          <w:sz w:val="24"/>
          <w:u w:val="none"/>
        </w:rPr>
        <w:t>Przechwytywanie ruchu rzeczywistego realizuje skrypt capture_traffic_flows.py oparty na narzędziu tshark. Skrypt korzysta z podejścia flow-based: pakiety są grupowane w przepływy (5-krotka: src_ip, dst_ip, src_port, dst_port, protocol), a cechy takie jak bytes_in i bytes_out są sumowane dla całego przepływu. Wcześniejsza implementacja per-packet zwracała bytes_received=0 dla wszystkich pakietów, co degradowało cztery najważniejsze cechy klasyfikatora (łącznie ~47% wagi Gini) i stanowi istotne ograniczenie podejścia przechwytywania na poziomie pakietu.</w:t>
      </w:r>
    </w:p>
    <w:p>
      <w:pPr>
        <w:spacing w:before="0" w:after="0"/>
        <w:ind w:firstLine="720"/>
        <w:jc w:val="both"/>
      </w:pPr>
      <w:r>
        <w:rPr>
          <w:rFonts w:ascii="Times New Roman" w:hAnsi="Times New Roman"/>
          <w:b w:val="0"/>
          <w:i w:val="0"/>
          <w:sz w:val="24"/>
          <w:u w:val="none"/>
        </w:rPr>
        <w:t>Zbiór benchmarkowy NF-ToN-IoT-v2 (Koroniotis i wsp., 2019) zawiera 16,9 mln przepływów sieciowych przechwyconych w laboratorium cyber-range Uniwersytetu w Canberze. Zbiór obejmuje 14 klas ataków i ruch normalny; do treningu i walidacji modelu użyto zbalansowanego podzbioru 55 000 próbek. Istotna cecha zbioru — adresy IP źródłowe w zakresie 192.168.1.x zarówno dla ruchu normalnego, jak i atakującego — wynika z topologii laboratorium, w której atakujący i ofiary współdzielą podsieć.</w:t>
      </w:r>
    </w:p>
    <w:p>
      <w:pPr>
        <w:spacing w:before="0" w:after="0"/>
        <w:ind w:firstLine="720"/>
        <w:jc w:val="both"/>
      </w:pPr>
      <w:r>
        <w:rPr>
          <w:rFonts w:ascii="Times New Roman" w:hAnsi="Times New Roman"/>
          <w:b w:val="0"/>
          <w:i w:val="0"/>
          <w:sz w:val="24"/>
          <w:u w:val="none"/>
        </w:rPr>
        <w:t>Symulowane ataki generuje skrypt generate_attacks.py, który produkuje zdarzenia NDJSON z wbudowanymi etykietami ground-truth. Klucz data_source=simulated pozwala odróżnić te zdarzenia od danych benchmarkowych i ruchu rzeczywistego na poziomie filtrów Kibana.</w:t>
      </w:r>
    </w:p>
    <w:p>
      <w:pPr>
        <w:spacing w:before="240" w:after="240"/>
        <w:jc w:val="center"/>
      </w:pPr>
      <w:r>
        <w:rPr>
          <w:rFonts w:ascii="Times New Roman" w:hAnsi="Times New Roman"/>
          <w:b w:val="0"/>
          <w:i w:val="0"/>
          <w:sz w:val="26"/>
          <w:u w:val="none"/>
        </w:rPr>
        <w:t>3.2 Pipeline przetwarzania</w:t>
      </w:r>
    </w:p>
    <w:p>
      <w:pPr>
        <w:spacing w:before="0" w:after="0"/>
        <w:ind w:firstLine="720"/>
        <w:jc w:val="both"/>
      </w:pPr>
      <w:r>
        <w:rPr>
          <w:rFonts w:ascii="Times New Roman" w:hAnsi="Times New Roman"/>
          <w:b w:val="0"/>
          <w:i w:val="0"/>
          <w:sz w:val="24"/>
          <w:u w:val="none"/>
        </w:rPr>
        <w:t>Architektura dwuindeksowa jest kluczowym elementem projektowym systemu. Indeks iot-radar-* przechowuje surowe zdarzenia z etykietami ground-truth nadanymi przez skrypty generujące (adapt_toniot.py, generate_attacks.py) lub przez Logstash (domyślna wartość attack_type=normal dla zdarzeń z tshark). Indeks iot-radar-predictions zawiera wyłącznie wyniki działania klasyfikatora ML — pola ml_prediction, ml_confidence, ml_mitre_tactic, ml_mitre_technique, ml_severity — i jest zasilany przez skrypt batch_score_all.py (tryb wsadowy) lub live_demo.py (tryb demonstracyjny).</w:t>
      </w:r>
    </w:p>
    <w:p>
      <w:pPr>
        <w:spacing w:before="0" w:after="0"/>
        <w:ind w:firstLine="720"/>
        <w:jc w:val="both"/>
      </w:pPr>
      <w:r>
        <w:rPr>
          <w:rFonts w:ascii="Times New Roman" w:hAnsi="Times New Roman"/>
          <w:b w:val="0"/>
          <w:i w:val="0"/>
          <w:sz w:val="24"/>
          <w:u w:val="none"/>
        </w:rPr>
        <w:t>Rozdzielenie obu indeksów ma istotne implikacje dla analizy: zdarzenia z tshark-live w indeksie iot-radar-* noszą etykietę attack_type=normal (brak prawdziwego ground-truth), natomiast w indeksie iot-radar-predictions uzyskują pierwszą rzeczywistą klasyfikację od modelu ML. Architektura ta umożliwia niezależną ewaluację trafności modelu (porównanie ml_prediction z attack_type na danych benchmarkowych) bez zanieczyszczania metryk zdarzeniami bez ground-truth.</w:t>
      </w:r>
    </w:p>
    <w:p>
      <w:pPr>
        <w:spacing w:before="240" w:after="240"/>
        <w:jc w:val="center"/>
      </w:pPr>
      <w:r>
        <w:rPr>
          <w:rFonts w:ascii="Times New Roman" w:hAnsi="Times New Roman"/>
          <w:b/>
          <w:i w:val="0"/>
          <w:sz w:val="26"/>
          <w:u w:val="none"/>
        </w:rPr>
        <w:t>4. KLASYFIKACJA ATAKÓW Z WYKORZYSTANIEM UCZENIA MASZYNOWEGO</w:t>
      </w:r>
    </w:p>
    <w:p>
      <w:pPr>
        <w:spacing w:before="240" w:after="240"/>
        <w:jc w:val="center"/>
      </w:pPr>
      <w:r>
        <w:rPr>
          <w:rFonts w:ascii="Times New Roman" w:hAnsi="Times New Roman"/>
          <w:b w:val="0"/>
          <w:i w:val="0"/>
          <w:sz w:val="26"/>
          <w:u w:val="none"/>
        </w:rPr>
        <w:t>4.1 Wybór algorytmu i przygotowanie danych</w:t>
      </w:r>
    </w:p>
    <w:p>
      <w:pPr>
        <w:spacing w:before="0" w:after="0"/>
        <w:ind w:firstLine="720"/>
        <w:jc w:val="both"/>
      </w:pPr>
      <w:r>
        <w:rPr>
          <w:rFonts w:ascii="Times New Roman" w:hAnsi="Times New Roman"/>
          <w:b w:val="0"/>
          <w:i w:val="0"/>
          <w:sz w:val="24"/>
          <w:u w:val="none"/>
        </w:rPr>
        <w:t>Do klasyfikacji ataków wybrano algorytm Random Forest (Breiman, 2001), kierując się trzema kryteriami: interpretowalność (feature importance jako miara wkładu cech), odporność na szum i brakujące wartości oraz brak konieczności standaryzacji danych numerycznych. Rozwiązania oparte na sieciach neuronowych oferują potencjalnie wyższą dokładność, lecz wymagają znacznie większych zasobów obliczeniowych i są trudniejsze do zinterpretowania w kontekście operacyjnym SOC.</w:t>
      </w:r>
    </w:p>
    <w:p>
      <w:pPr>
        <w:spacing w:before="0" w:after="0"/>
        <w:ind w:firstLine="720"/>
        <w:jc w:val="both"/>
      </w:pPr>
      <w:r>
        <w:rPr>
          <w:rFonts w:ascii="Times New Roman" w:hAnsi="Times New Roman"/>
          <w:b w:val="0"/>
          <w:i w:val="0"/>
          <w:sz w:val="24"/>
          <w:u w:val="none"/>
        </w:rPr>
        <w:t>Cechy wejściowe klasyfikatora odpowiadają polom przepływu sieciowego NetFlow: src_ip (numerycznie), dst_ip, src_port, dst_port, protocol, bytes_in, bytes_out, duration, packets_in, packets_out oraz flaga src_toniot_benchmark. Ostatnia cecha — binarna flaga wskazująca przynależność zdarzenia do zbioru benchmarkowego — osiąga pozycję #10 w rankingu ważności cech (feature importance), co wskazuje na częściowe uczenie się przez model tożsamości zbioru danych (feature leakage). Jest to akceptowalne w kontekście badawczym, lecz wymagałoby usunięcia w systemie produkcyjnym.</w:t>
      </w:r>
    </w:p>
    <w:p>
      <w:pPr>
        <w:spacing w:before="0" w:after="0"/>
        <w:ind w:firstLine="720"/>
        <w:jc w:val="both"/>
      </w:pPr>
      <w:r>
        <w:rPr>
          <w:rFonts w:ascii="Times New Roman" w:hAnsi="Times New Roman"/>
          <w:b w:val="0"/>
          <w:i w:val="0"/>
          <w:sz w:val="24"/>
          <w:u w:val="none"/>
        </w:rPr>
        <w:t>Mapowanie etykiet klas na liczby całkowite realizuje LabelEncoder z biblioteki scikit-learn (Pedregosa i wsp., 2011) z sortowaniem alfabetycznym. Artefakt enkodera (label_encoder.joblib) jest zapisywany razem z modelem, co zapewnia spójność mapowania między treningiem a inferencją — niezbędny warunek poprawnego działania klasyfikatora na nowych danych.</w:t>
      </w:r>
    </w:p>
    <w:p>
      <w:pPr>
        <w:spacing w:before="240" w:after="240"/>
        <w:jc w:val="center"/>
      </w:pPr>
      <w:r>
        <w:rPr>
          <w:rFonts w:ascii="Times New Roman" w:hAnsi="Times New Roman"/>
          <w:b w:val="0"/>
          <w:i w:val="0"/>
          <w:sz w:val="26"/>
          <w:u w:val="none"/>
        </w:rPr>
        <w:t>4.2 Wyniki klasyfikacji</w:t>
      </w:r>
    </w:p>
    <w:p>
      <w:pPr>
        <w:spacing w:before="0" w:after="0"/>
        <w:ind w:firstLine="720"/>
        <w:jc w:val="both"/>
      </w:pPr>
      <w:r>
        <w:rPr>
          <w:rFonts w:ascii="Times New Roman" w:hAnsi="Times New Roman"/>
          <w:b w:val="0"/>
          <w:i w:val="0"/>
          <w:sz w:val="24"/>
          <w:u w:val="none"/>
        </w:rPr>
        <w:t>Model osiągnął dokładność ogólną 97% na zbiorze testowym (11 000 próbek). Szczegółowe wyniki dla poszczególnych klas prezentuje tabela 1.</w:t>
      </w:r>
    </w:p>
    <w:p>
      <w:pPr>
        <w:spacing w:before="240" w:after="120"/>
        <w:jc w:val="left"/>
      </w:pPr>
      <w:r>
        <w:rPr>
          <w:rFonts w:ascii="Times New Roman" w:hAnsi="Times New Roman"/>
          <w:b w:val="0"/>
          <w:i w:val="0"/>
          <w:sz w:val="20"/>
          <w:u w:val="none"/>
        </w:rPr>
        <w:t>Tabela 1. Raport klasyfikacji — Random Forest (zbiór testowy, n=11 000)</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Times New Roman" w:hAnsi="Times New Roman"/>
                <w:b/>
                <w:i w:val="0"/>
                <w:sz w:val="20"/>
                <w:u w:val="none"/>
              </w:rPr>
              <w:t>Klasa</w:t>
            </w:r>
          </w:p>
        </w:tc>
        <w:tc>
          <w:tcPr>
            <w:tcW w:type="dxa" w:w="1814"/>
          </w:tcPr>
          <w:p>
            <w:pPr>
              <w:jc w:val="center"/>
            </w:pPr>
            <w:r>
              <w:rPr>
                <w:rFonts w:ascii="Times New Roman" w:hAnsi="Times New Roman"/>
                <w:b/>
                <w:i w:val="0"/>
                <w:sz w:val="20"/>
                <w:u w:val="none"/>
              </w:rPr>
              <w:t>Precision</w:t>
            </w:r>
          </w:p>
        </w:tc>
        <w:tc>
          <w:tcPr>
            <w:tcW w:type="dxa" w:w="1814"/>
          </w:tcPr>
          <w:p>
            <w:pPr>
              <w:jc w:val="center"/>
            </w:pPr>
            <w:r>
              <w:rPr>
                <w:rFonts w:ascii="Times New Roman" w:hAnsi="Times New Roman"/>
                <w:b/>
                <w:i w:val="0"/>
                <w:sz w:val="20"/>
                <w:u w:val="none"/>
              </w:rPr>
              <w:t>Recall</w:t>
            </w:r>
          </w:p>
        </w:tc>
        <w:tc>
          <w:tcPr>
            <w:tcW w:type="dxa" w:w="1814"/>
          </w:tcPr>
          <w:p>
            <w:pPr>
              <w:jc w:val="center"/>
            </w:pPr>
            <w:r>
              <w:rPr>
                <w:rFonts w:ascii="Times New Roman" w:hAnsi="Times New Roman"/>
                <w:b/>
                <w:i w:val="0"/>
                <w:sz w:val="20"/>
                <w:u w:val="none"/>
              </w:rPr>
              <w:t>F1-score</w:t>
            </w:r>
          </w:p>
        </w:tc>
        <w:tc>
          <w:tcPr>
            <w:tcW w:type="dxa" w:w="1814"/>
          </w:tcPr>
          <w:p>
            <w:pPr>
              <w:jc w:val="center"/>
            </w:pPr>
            <w:r>
              <w:rPr>
                <w:rFonts w:ascii="Times New Roman" w:hAnsi="Times New Roman"/>
                <w:b/>
                <w:i w:val="0"/>
                <w:sz w:val="20"/>
                <w:u w:val="none"/>
              </w:rPr>
              <w:t>Support</w:t>
            </w:r>
          </w:p>
        </w:tc>
      </w:tr>
      <w:tr>
        <w:tc>
          <w:tcPr>
            <w:tcW w:type="dxa" w:w="1814"/>
          </w:tcPr>
          <w:p>
            <w:pPr>
              <w:jc w:val="center"/>
            </w:pPr>
            <w:r>
              <w:rPr>
                <w:rFonts w:ascii="Times New Roman" w:hAnsi="Times New Roman"/>
                <w:b w:val="0"/>
                <w:i w:val="0"/>
                <w:sz w:val="20"/>
                <w:u w:val="none"/>
              </w:rPr>
              <w:t>backdoor</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7</w:t>
            </w:r>
          </w:p>
        </w:tc>
      </w:tr>
      <w:tr>
        <w:tc>
          <w:tcPr>
            <w:tcW w:type="dxa" w:w="1814"/>
          </w:tcPr>
          <w:p>
            <w:pPr>
              <w:jc w:val="center"/>
            </w:pPr>
            <w:r>
              <w:rPr>
                <w:rFonts w:ascii="Times New Roman" w:hAnsi="Times New Roman"/>
                <w:b w:val="0"/>
                <w:i w:val="0"/>
                <w:sz w:val="20"/>
                <w:u w:val="none"/>
              </w:rPr>
              <w:t>brute_force</w:t>
            </w:r>
          </w:p>
        </w:tc>
        <w:tc>
          <w:tcPr>
            <w:tcW w:type="dxa" w:w="1814"/>
          </w:tcPr>
          <w:p>
            <w:pPr>
              <w:jc w:val="center"/>
            </w:pPr>
            <w:r>
              <w:rPr>
                <w:rFonts w:ascii="Times New Roman" w:hAnsi="Times New Roman"/>
                <w:b w:val="0"/>
                <w:i w:val="0"/>
                <w:sz w:val="20"/>
                <w:u w:val="none"/>
              </w:rPr>
              <w:t>0.90</w:t>
            </w:r>
          </w:p>
        </w:tc>
        <w:tc>
          <w:tcPr>
            <w:tcW w:type="dxa" w:w="1814"/>
          </w:tcPr>
          <w:p>
            <w:pPr>
              <w:jc w:val="center"/>
            </w:pPr>
            <w:r>
              <w:rPr>
                <w:rFonts w:ascii="Times New Roman" w:hAnsi="Times New Roman"/>
                <w:b w:val="0"/>
                <w:i w:val="0"/>
                <w:sz w:val="20"/>
                <w:u w:val="none"/>
              </w:rPr>
              <w:t>0.88</w:t>
            </w:r>
          </w:p>
        </w:tc>
        <w:tc>
          <w:tcPr>
            <w:tcW w:type="dxa" w:w="1814"/>
          </w:tcPr>
          <w:p>
            <w:pPr>
              <w:jc w:val="center"/>
            </w:pPr>
            <w:r>
              <w:rPr>
                <w:rFonts w:ascii="Times New Roman" w:hAnsi="Times New Roman"/>
                <w:b w:val="0"/>
                <w:i w:val="0"/>
                <w:sz w:val="20"/>
                <w:u w:val="none"/>
              </w:rPr>
              <w:t>0.89</w:t>
            </w:r>
          </w:p>
        </w:tc>
        <w:tc>
          <w:tcPr>
            <w:tcW w:type="dxa" w:w="1814"/>
          </w:tcPr>
          <w:p>
            <w:pPr>
              <w:jc w:val="center"/>
            </w:pPr>
            <w:r>
              <w:rPr>
                <w:rFonts w:ascii="Times New Roman" w:hAnsi="Times New Roman"/>
                <w:b w:val="0"/>
                <w:i w:val="0"/>
                <w:sz w:val="20"/>
                <w:u w:val="none"/>
              </w:rPr>
              <w:t>580</w:t>
            </w:r>
          </w:p>
        </w:tc>
      </w:tr>
      <w:tr>
        <w:tc>
          <w:tcPr>
            <w:tcW w:type="dxa" w:w="1814"/>
          </w:tcPr>
          <w:p>
            <w:pPr>
              <w:jc w:val="center"/>
            </w:pPr>
            <w:r>
              <w:rPr>
                <w:rFonts w:ascii="Times New Roman" w:hAnsi="Times New Roman"/>
                <w:b w:val="0"/>
                <w:i w:val="0"/>
                <w:sz w:val="20"/>
                <w:u w:val="none"/>
              </w:rPr>
              <w:t>ddos_flood</w:t>
            </w:r>
          </w:p>
        </w:tc>
        <w:tc>
          <w:tcPr>
            <w:tcW w:type="dxa" w:w="1814"/>
          </w:tcPr>
          <w:p>
            <w:pPr>
              <w:jc w:val="center"/>
            </w:pPr>
            <w:r>
              <w:rPr>
                <w:rFonts w:ascii="Times New Roman" w:hAnsi="Times New Roman"/>
                <w:b w:val="0"/>
                <w:i w:val="0"/>
                <w:sz w:val="20"/>
                <w:u w:val="none"/>
              </w:rPr>
              <w:t>0.96</w:t>
            </w:r>
          </w:p>
        </w:tc>
        <w:tc>
          <w:tcPr>
            <w:tcW w:type="dxa" w:w="1814"/>
          </w:tcPr>
          <w:p>
            <w:pPr>
              <w:jc w:val="center"/>
            </w:pPr>
            <w:r>
              <w:rPr>
                <w:rFonts w:ascii="Times New Roman" w:hAnsi="Times New Roman"/>
                <w:b w:val="0"/>
                <w:i w:val="0"/>
                <w:sz w:val="20"/>
                <w:u w:val="none"/>
              </w:rPr>
              <w:t>0.93</w:t>
            </w:r>
          </w:p>
        </w:tc>
        <w:tc>
          <w:tcPr>
            <w:tcW w:type="dxa" w:w="1814"/>
          </w:tcPr>
          <w:p>
            <w:pPr>
              <w:jc w:val="center"/>
            </w:pPr>
            <w:r>
              <w:rPr>
                <w:rFonts w:ascii="Times New Roman" w:hAnsi="Times New Roman"/>
                <w:b w:val="0"/>
                <w:i w:val="0"/>
                <w:sz w:val="20"/>
                <w:u w:val="none"/>
              </w:rPr>
              <w:t>0.94</w:t>
            </w:r>
          </w:p>
        </w:tc>
        <w:tc>
          <w:tcPr>
            <w:tcW w:type="dxa" w:w="1814"/>
          </w:tcPr>
          <w:p>
            <w:pPr>
              <w:jc w:val="center"/>
            </w:pPr>
            <w:r>
              <w:rPr>
                <w:rFonts w:ascii="Times New Roman" w:hAnsi="Times New Roman"/>
                <w:b w:val="0"/>
                <w:i w:val="0"/>
                <w:sz w:val="20"/>
                <w:u w:val="none"/>
              </w:rPr>
              <w:t>956</w:t>
            </w:r>
          </w:p>
        </w:tc>
      </w:tr>
      <w:tr>
        <w:tc>
          <w:tcPr>
            <w:tcW w:type="dxa" w:w="1814"/>
          </w:tcPr>
          <w:p>
            <w:pPr>
              <w:jc w:val="center"/>
            </w:pPr>
            <w:r>
              <w:rPr>
                <w:rFonts w:ascii="Times New Roman" w:hAnsi="Times New Roman"/>
                <w:b w:val="0"/>
                <w:i w:val="0"/>
                <w:sz w:val="20"/>
                <w:u w:val="none"/>
              </w:rPr>
              <w:t>dns_exfiltration</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9</w:t>
            </w:r>
          </w:p>
        </w:tc>
      </w:tr>
      <w:tr>
        <w:tc>
          <w:tcPr>
            <w:tcW w:type="dxa" w:w="1814"/>
          </w:tcPr>
          <w:p>
            <w:pPr>
              <w:jc w:val="center"/>
            </w:pPr>
            <w:r>
              <w:rPr>
                <w:rFonts w:ascii="Times New Roman" w:hAnsi="Times New Roman"/>
                <w:b w:val="0"/>
                <w:i w:val="0"/>
                <w:sz w:val="20"/>
                <w:u w:val="none"/>
              </w:rPr>
              <w:t>dos</w:t>
            </w:r>
          </w:p>
        </w:tc>
        <w:tc>
          <w:tcPr>
            <w:tcW w:type="dxa" w:w="1814"/>
          </w:tcPr>
          <w:p>
            <w:pPr>
              <w:jc w:val="center"/>
            </w:pPr>
            <w:r>
              <w:rPr>
                <w:rFonts w:ascii="Times New Roman" w:hAnsi="Times New Roman"/>
                <w:b w:val="0"/>
                <w:i w:val="0"/>
                <w:sz w:val="20"/>
                <w:u w:val="none"/>
              </w:rPr>
              <w:t>0.89</w:t>
            </w:r>
          </w:p>
        </w:tc>
        <w:tc>
          <w:tcPr>
            <w:tcW w:type="dxa" w:w="1814"/>
          </w:tcPr>
          <w:p>
            <w:pPr>
              <w:jc w:val="center"/>
            </w:pPr>
            <w:r>
              <w:rPr>
                <w:rFonts w:ascii="Times New Roman" w:hAnsi="Times New Roman"/>
                <w:b w:val="0"/>
                <w:i w:val="0"/>
                <w:sz w:val="20"/>
                <w:u w:val="none"/>
              </w:rPr>
              <w:t>0.91</w:t>
            </w:r>
          </w:p>
        </w:tc>
        <w:tc>
          <w:tcPr>
            <w:tcW w:type="dxa" w:w="1814"/>
          </w:tcPr>
          <w:p>
            <w:pPr>
              <w:jc w:val="center"/>
            </w:pPr>
            <w:r>
              <w:rPr>
                <w:rFonts w:ascii="Times New Roman" w:hAnsi="Times New Roman"/>
                <w:b w:val="0"/>
                <w:i w:val="0"/>
                <w:sz w:val="20"/>
                <w:u w:val="none"/>
              </w:rPr>
              <w:t>0.90</w:t>
            </w:r>
          </w:p>
        </w:tc>
        <w:tc>
          <w:tcPr>
            <w:tcW w:type="dxa" w:w="1814"/>
          </w:tcPr>
          <w:p>
            <w:pPr>
              <w:jc w:val="center"/>
            </w:pPr>
            <w:r>
              <w:rPr>
                <w:rFonts w:ascii="Times New Roman" w:hAnsi="Times New Roman"/>
                <w:b w:val="0"/>
                <w:i w:val="0"/>
                <w:sz w:val="20"/>
                <w:u w:val="none"/>
              </w:rPr>
              <w:t>338</w:t>
            </w:r>
          </w:p>
        </w:tc>
      </w:tr>
      <w:tr>
        <w:tc>
          <w:tcPr>
            <w:tcW w:type="dxa" w:w="1814"/>
          </w:tcPr>
          <w:p>
            <w:pPr>
              <w:jc w:val="center"/>
            </w:pPr>
            <w:r>
              <w:rPr>
                <w:rFonts w:ascii="Times New Roman" w:hAnsi="Times New Roman"/>
                <w:b w:val="0"/>
                <w:i w:val="0"/>
                <w:sz w:val="20"/>
                <w:u w:val="none"/>
              </w:rPr>
              <w:t>injection</w:t>
            </w:r>
          </w:p>
        </w:tc>
        <w:tc>
          <w:tcPr>
            <w:tcW w:type="dxa" w:w="1814"/>
          </w:tcPr>
          <w:p>
            <w:pPr>
              <w:jc w:val="center"/>
            </w:pPr>
            <w:r>
              <w:rPr>
                <w:rFonts w:ascii="Times New Roman" w:hAnsi="Times New Roman"/>
                <w:b w:val="0"/>
                <w:i w:val="0"/>
                <w:sz w:val="20"/>
                <w:u w:val="none"/>
              </w:rPr>
              <w:t>0.74</w:t>
            </w:r>
          </w:p>
        </w:tc>
        <w:tc>
          <w:tcPr>
            <w:tcW w:type="dxa" w:w="1814"/>
          </w:tcPr>
          <w:p>
            <w:pPr>
              <w:jc w:val="center"/>
            </w:pPr>
            <w:r>
              <w:rPr>
                <w:rFonts w:ascii="Times New Roman" w:hAnsi="Times New Roman"/>
                <w:b w:val="0"/>
                <w:i w:val="0"/>
                <w:sz w:val="20"/>
                <w:u w:val="none"/>
              </w:rPr>
              <w:t>0.76</w:t>
            </w:r>
          </w:p>
        </w:tc>
        <w:tc>
          <w:tcPr>
            <w:tcW w:type="dxa" w:w="1814"/>
          </w:tcPr>
          <w:p>
            <w:pPr>
              <w:jc w:val="center"/>
            </w:pPr>
            <w:r>
              <w:rPr>
                <w:rFonts w:ascii="Times New Roman" w:hAnsi="Times New Roman"/>
                <w:b w:val="0"/>
                <w:i w:val="0"/>
                <w:sz w:val="20"/>
                <w:u w:val="none"/>
              </w:rPr>
              <w:t>0.75</w:t>
            </w:r>
          </w:p>
        </w:tc>
        <w:tc>
          <w:tcPr>
            <w:tcW w:type="dxa" w:w="1814"/>
          </w:tcPr>
          <w:p>
            <w:pPr>
              <w:jc w:val="center"/>
            </w:pPr>
            <w:r>
              <w:rPr>
                <w:rFonts w:ascii="Times New Roman" w:hAnsi="Times New Roman"/>
                <w:b w:val="0"/>
                <w:i w:val="0"/>
                <w:sz w:val="20"/>
                <w:u w:val="none"/>
              </w:rPr>
              <w:t>322</w:t>
            </w:r>
          </w:p>
        </w:tc>
      </w:tr>
      <w:tr>
        <w:tc>
          <w:tcPr>
            <w:tcW w:type="dxa" w:w="1814"/>
          </w:tcPr>
          <w:p>
            <w:pPr>
              <w:jc w:val="center"/>
            </w:pPr>
            <w:r>
              <w:rPr>
                <w:rFonts w:ascii="Times New Roman" w:hAnsi="Times New Roman"/>
                <w:b w:val="0"/>
                <w:i w:val="0"/>
                <w:sz w:val="20"/>
                <w:u w:val="none"/>
              </w:rPr>
              <w:t>normal</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5900</w:t>
            </w:r>
          </w:p>
        </w:tc>
      </w:tr>
      <w:tr>
        <w:tc>
          <w:tcPr>
            <w:tcW w:type="dxa" w:w="1814"/>
          </w:tcPr>
          <w:p>
            <w:pPr>
              <w:jc w:val="center"/>
            </w:pPr>
            <w:r>
              <w:rPr>
                <w:rFonts w:ascii="Times New Roman" w:hAnsi="Times New Roman"/>
                <w:b w:val="0"/>
                <w:i w:val="0"/>
                <w:sz w:val="20"/>
                <w:u w:val="none"/>
              </w:rPr>
              <w:t>port_scan</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0.99</w:t>
            </w:r>
          </w:p>
        </w:tc>
        <w:tc>
          <w:tcPr>
            <w:tcW w:type="dxa" w:w="1814"/>
          </w:tcPr>
          <w:p>
            <w:pPr>
              <w:jc w:val="center"/>
            </w:pPr>
            <w:r>
              <w:rPr>
                <w:rFonts w:ascii="Times New Roman" w:hAnsi="Times New Roman"/>
                <w:b w:val="0"/>
                <w:i w:val="0"/>
                <w:sz w:val="20"/>
                <w:u w:val="none"/>
              </w:rPr>
              <w:t>1.00</w:t>
            </w:r>
          </w:p>
        </w:tc>
        <w:tc>
          <w:tcPr>
            <w:tcW w:type="dxa" w:w="1814"/>
          </w:tcPr>
          <w:p>
            <w:pPr>
              <w:jc w:val="center"/>
            </w:pPr>
            <w:r>
              <w:rPr>
                <w:rFonts w:ascii="Times New Roman" w:hAnsi="Times New Roman"/>
                <w:b w:val="0"/>
                <w:i w:val="0"/>
                <w:sz w:val="20"/>
                <w:u w:val="none"/>
              </w:rPr>
              <w:t>1777</w:t>
            </w:r>
          </w:p>
        </w:tc>
      </w:tr>
      <w:tr>
        <w:tc>
          <w:tcPr>
            <w:tcW w:type="dxa" w:w="1814"/>
          </w:tcPr>
          <w:p>
            <w:pPr>
              <w:jc w:val="center"/>
            </w:pPr>
            <w:r>
              <w:rPr>
                <w:rFonts w:ascii="Times New Roman" w:hAnsi="Times New Roman"/>
                <w:b w:val="0"/>
                <w:i w:val="0"/>
                <w:sz w:val="20"/>
                <w:u w:val="none"/>
              </w:rPr>
              <w:t>xss</w:t>
            </w:r>
          </w:p>
        </w:tc>
        <w:tc>
          <w:tcPr>
            <w:tcW w:type="dxa" w:w="1814"/>
          </w:tcPr>
          <w:p>
            <w:pPr>
              <w:jc w:val="center"/>
            </w:pPr>
            <w:r>
              <w:rPr>
                <w:rFonts w:ascii="Times New Roman" w:hAnsi="Times New Roman"/>
                <w:b w:val="0"/>
                <w:i w:val="0"/>
                <w:sz w:val="20"/>
                <w:u w:val="none"/>
              </w:rPr>
              <w:t>0.92</w:t>
            </w:r>
          </w:p>
        </w:tc>
        <w:tc>
          <w:tcPr>
            <w:tcW w:type="dxa" w:w="1814"/>
          </w:tcPr>
          <w:p>
            <w:pPr>
              <w:jc w:val="center"/>
            </w:pPr>
            <w:r>
              <w:rPr>
                <w:rFonts w:ascii="Times New Roman" w:hAnsi="Times New Roman"/>
                <w:b w:val="0"/>
                <w:i w:val="0"/>
                <w:sz w:val="20"/>
                <w:u w:val="none"/>
              </w:rPr>
              <w:t>0.95</w:t>
            </w:r>
          </w:p>
        </w:tc>
        <w:tc>
          <w:tcPr>
            <w:tcW w:type="dxa" w:w="1814"/>
          </w:tcPr>
          <w:p>
            <w:pPr>
              <w:jc w:val="center"/>
            </w:pPr>
            <w:r>
              <w:rPr>
                <w:rFonts w:ascii="Times New Roman" w:hAnsi="Times New Roman"/>
                <w:b w:val="0"/>
                <w:i w:val="0"/>
                <w:sz w:val="20"/>
                <w:u w:val="none"/>
              </w:rPr>
              <w:t>0.93</w:t>
            </w:r>
          </w:p>
        </w:tc>
        <w:tc>
          <w:tcPr>
            <w:tcW w:type="dxa" w:w="1814"/>
          </w:tcPr>
          <w:p>
            <w:pPr>
              <w:jc w:val="center"/>
            </w:pPr>
            <w:r>
              <w:rPr>
                <w:rFonts w:ascii="Times New Roman" w:hAnsi="Times New Roman"/>
                <w:b w:val="0"/>
                <w:i w:val="0"/>
                <w:sz w:val="20"/>
                <w:u w:val="none"/>
              </w:rPr>
              <w:t>1111</w:t>
            </w:r>
          </w:p>
        </w:tc>
      </w:tr>
      <w:tr>
        <w:tc>
          <w:tcPr>
            <w:tcW w:type="dxa" w:w="1814"/>
          </w:tcPr>
          <w:p>
            <w:pPr>
              <w:jc w:val="center"/>
            </w:pPr>
            <w:r>
              <w:rPr>
                <w:rFonts w:ascii="Times New Roman" w:hAnsi="Times New Roman"/>
                <w:b w:val="0"/>
                <w:i w:val="0"/>
                <w:sz w:val="20"/>
                <w:u w:val="none"/>
              </w:rPr>
            </w:r>
          </w:p>
        </w:tc>
        <w:tc>
          <w:tcPr>
            <w:tcW w:type="dxa" w:w="1814"/>
          </w:tcPr>
          <w:p>
            <w:pPr>
              <w:jc w:val="center"/>
            </w:pPr>
            <w:r>
              <w:rPr>
                <w:rFonts w:ascii="Times New Roman" w:hAnsi="Times New Roman"/>
                <w:b w:val="0"/>
                <w:i w:val="0"/>
                <w:sz w:val="20"/>
                <w:u w:val="none"/>
              </w:rPr>
            </w:r>
          </w:p>
        </w:tc>
        <w:tc>
          <w:tcPr>
            <w:tcW w:type="dxa" w:w="1814"/>
          </w:tcPr>
          <w:p>
            <w:pPr>
              <w:jc w:val="center"/>
            </w:pPr>
            <w:r>
              <w:rPr>
                <w:rFonts w:ascii="Times New Roman" w:hAnsi="Times New Roman"/>
                <w:b w:val="0"/>
                <w:i w:val="0"/>
                <w:sz w:val="20"/>
                <w:u w:val="none"/>
              </w:rPr>
            </w:r>
          </w:p>
        </w:tc>
        <w:tc>
          <w:tcPr>
            <w:tcW w:type="dxa" w:w="1814"/>
          </w:tcPr>
          <w:p>
            <w:pPr>
              <w:jc w:val="center"/>
            </w:pPr>
            <w:r>
              <w:rPr>
                <w:rFonts w:ascii="Times New Roman" w:hAnsi="Times New Roman"/>
                <w:b w:val="0"/>
                <w:i w:val="0"/>
                <w:sz w:val="20"/>
                <w:u w:val="none"/>
              </w:rPr>
            </w:r>
          </w:p>
        </w:tc>
        <w:tc>
          <w:tcPr>
            <w:tcW w:type="dxa" w:w="1814"/>
          </w:tcPr>
          <w:p>
            <w:pPr>
              <w:jc w:val="center"/>
            </w:pPr>
            <w:r>
              <w:rPr>
                <w:rFonts w:ascii="Times New Roman" w:hAnsi="Times New Roman"/>
                <w:b w:val="0"/>
                <w:i w:val="0"/>
                <w:sz w:val="20"/>
                <w:u w:val="none"/>
              </w:rPr>
            </w:r>
          </w:p>
        </w:tc>
      </w:tr>
      <w:tr>
        <w:tc>
          <w:tcPr>
            <w:tcW w:type="dxa" w:w="1814"/>
          </w:tcPr>
          <w:p>
            <w:pPr>
              <w:jc w:val="center"/>
            </w:pPr>
            <w:r>
              <w:rPr>
                <w:rFonts w:ascii="Times New Roman" w:hAnsi="Times New Roman"/>
                <w:b w:val="0"/>
                <w:i w:val="0"/>
                <w:sz w:val="20"/>
                <w:u w:val="none"/>
              </w:rPr>
              <w:t>accuracy</w:t>
            </w:r>
          </w:p>
        </w:tc>
        <w:tc>
          <w:tcPr>
            <w:tcW w:type="dxa" w:w="1814"/>
          </w:tcPr>
          <w:p>
            <w:pPr>
              <w:jc w:val="center"/>
            </w:pPr>
            <w:r>
              <w:rPr>
                <w:rFonts w:ascii="Times New Roman" w:hAnsi="Times New Roman"/>
                <w:b w:val="0"/>
                <w:i w:val="0"/>
                <w:sz w:val="20"/>
                <w:u w:val="none"/>
              </w:rPr>
            </w:r>
          </w:p>
        </w:tc>
        <w:tc>
          <w:tcPr>
            <w:tcW w:type="dxa" w:w="1814"/>
          </w:tcPr>
          <w:p>
            <w:pPr>
              <w:jc w:val="center"/>
            </w:pPr>
            <w:r>
              <w:rPr>
                <w:rFonts w:ascii="Times New Roman" w:hAnsi="Times New Roman"/>
                <w:b w:val="0"/>
                <w:i w:val="0"/>
                <w:sz w:val="20"/>
                <w:u w:val="none"/>
              </w:rPr>
            </w:r>
          </w:p>
        </w:tc>
        <w:tc>
          <w:tcPr>
            <w:tcW w:type="dxa" w:w="1814"/>
          </w:tcPr>
          <w:p>
            <w:pPr>
              <w:jc w:val="center"/>
            </w:pPr>
            <w:r>
              <w:rPr>
                <w:rFonts w:ascii="Times New Roman" w:hAnsi="Times New Roman"/>
                <w:b w:val="0"/>
                <w:i w:val="0"/>
                <w:sz w:val="20"/>
                <w:u w:val="none"/>
              </w:rPr>
              <w:t>0.97</w:t>
            </w:r>
          </w:p>
        </w:tc>
        <w:tc>
          <w:tcPr>
            <w:tcW w:type="dxa" w:w="1814"/>
          </w:tcPr>
          <w:p>
            <w:pPr>
              <w:jc w:val="center"/>
            </w:pPr>
            <w:r>
              <w:rPr>
                <w:rFonts w:ascii="Times New Roman" w:hAnsi="Times New Roman"/>
                <w:b w:val="0"/>
                <w:i w:val="0"/>
                <w:sz w:val="20"/>
                <w:u w:val="none"/>
              </w:rPr>
              <w:t>11000</w:t>
            </w:r>
          </w:p>
        </w:tc>
      </w:tr>
      <w:tr>
        <w:tc>
          <w:tcPr>
            <w:tcW w:type="dxa" w:w="1814"/>
          </w:tcPr>
          <w:p>
            <w:pPr>
              <w:jc w:val="center"/>
            </w:pPr>
            <w:r>
              <w:rPr>
                <w:rFonts w:ascii="Times New Roman" w:hAnsi="Times New Roman"/>
                <w:b w:val="0"/>
                <w:i w:val="0"/>
                <w:sz w:val="20"/>
                <w:u w:val="none"/>
              </w:rPr>
              <w:t>macro avg</w:t>
            </w:r>
          </w:p>
        </w:tc>
        <w:tc>
          <w:tcPr>
            <w:tcW w:type="dxa" w:w="1814"/>
          </w:tcPr>
          <w:p>
            <w:pPr>
              <w:jc w:val="center"/>
            </w:pPr>
            <w:r>
              <w:rPr>
                <w:rFonts w:ascii="Times New Roman" w:hAnsi="Times New Roman"/>
                <w:b w:val="0"/>
                <w:i w:val="0"/>
                <w:sz w:val="20"/>
                <w:u w:val="none"/>
              </w:rPr>
              <w:t>0.93</w:t>
            </w:r>
          </w:p>
        </w:tc>
        <w:tc>
          <w:tcPr>
            <w:tcW w:type="dxa" w:w="1814"/>
          </w:tcPr>
          <w:p>
            <w:pPr>
              <w:jc w:val="center"/>
            </w:pPr>
            <w:r>
              <w:rPr>
                <w:rFonts w:ascii="Times New Roman" w:hAnsi="Times New Roman"/>
                <w:b w:val="0"/>
                <w:i w:val="0"/>
                <w:sz w:val="20"/>
                <w:u w:val="none"/>
              </w:rPr>
              <w:t>0.94</w:t>
            </w:r>
          </w:p>
        </w:tc>
        <w:tc>
          <w:tcPr>
            <w:tcW w:type="dxa" w:w="1814"/>
          </w:tcPr>
          <w:p>
            <w:pPr>
              <w:jc w:val="center"/>
            </w:pPr>
            <w:r>
              <w:rPr>
                <w:rFonts w:ascii="Times New Roman" w:hAnsi="Times New Roman"/>
                <w:b w:val="0"/>
                <w:i w:val="0"/>
                <w:sz w:val="20"/>
                <w:u w:val="none"/>
              </w:rPr>
              <w:t>0.93</w:t>
            </w:r>
          </w:p>
        </w:tc>
        <w:tc>
          <w:tcPr>
            <w:tcW w:type="dxa" w:w="1814"/>
          </w:tcPr>
          <w:p>
            <w:pPr>
              <w:jc w:val="center"/>
            </w:pPr>
            <w:r>
              <w:rPr>
                <w:rFonts w:ascii="Times New Roman" w:hAnsi="Times New Roman"/>
                <w:b w:val="0"/>
                <w:i w:val="0"/>
                <w:sz w:val="20"/>
                <w:u w:val="none"/>
              </w:rPr>
              <w:t>11000</w:t>
            </w:r>
          </w:p>
        </w:tc>
      </w:tr>
      <w:tr>
        <w:tc>
          <w:tcPr>
            <w:tcW w:type="dxa" w:w="1814"/>
          </w:tcPr>
          <w:p>
            <w:pPr>
              <w:jc w:val="center"/>
            </w:pPr>
            <w:r>
              <w:rPr>
                <w:rFonts w:ascii="Times New Roman" w:hAnsi="Times New Roman"/>
                <w:b w:val="0"/>
                <w:i w:val="0"/>
                <w:sz w:val="20"/>
                <w:u w:val="none"/>
              </w:rPr>
              <w:t>weighted avg</w:t>
            </w:r>
          </w:p>
        </w:tc>
        <w:tc>
          <w:tcPr>
            <w:tcW w:type="dxa" w:w="1814"/>
          </w:tcPr>
          <w:p>
            <w:pPr>
              <w:jc w:val="center"/>
            </w:pPr>
            <w:r>
              <w:rPr>
                <w:rFonts w:ascii="Times New Roman" w:hAnsi="Times New Roman"/>
                <w:b w:val="0"/>
                <w:i w:val="0"/>
                <w:sz w:val="20"/>
                <w:u w:val="none"/>
              </w:rPr>
              <w:t>0.97</w:t>
            </w:r>
          </w:p>
        </w:tc>
        <w:tc>
          <w:tcPr>
            <w:tcW w:type="dxa" w:w="1814"/>
          </w:tcPr>
          <w:p>
            <w:pPr>
              <w:jc w:val="center"/>
            </w:pPr>
            <w:r>
              <w:rPr>
                <w:rFonts w:ascii="Times New Roman" w:hAnsi="Times New Roman"/>
                <w:b w:val="0"/>
                <w:i w:val="0"/>
                <w:sz w:val="20"/>
                <w:u w:val="none"/>
              </w:rPr>
              <w:t>0.97</w:t>
            </w:r>
          </w:p>
        </w:tc>
        <w:tc>
          <w:tcPr>
            <w:tcW w:type="dxa" w:w="1814"/>
          </w:tcPr>
          <w:p>
            <w:pPr>
              <w:jc w:val="center"/>
            </w:pPr>
            <w:r>
              <w:rPr>
                <w:rFonts w:ascii="Times New Roman" w:hAnsi="Times New Roman"/>
                <w:b w:val="0"/>
                <w:i w:val="0"/>
                <w:sz w:val="20"/>
                <w:u w:val="none"/>
              </w:rPr>
              <w:t>0.97</w:t>
            </w:r>
          </w:p>
        </w:tc>
        <w:tc>
          <w:tcPr>
            <w:tcW w:type="dxa" w:w="1814"/>
          </w:tcPr>
          <w:p>
            <w:pPr>
              <w:jc w:val="center"/>
            </w:pPr>
            <w:r>
              <w:rPr>
                <w:rFonts w:ascii="Times New Roman" w:hAnsi="Times New Roman"/>
                <w:b w:val="0"/>
                <w:i w:val="0"/>
                <w:sz w:val="20"/>
                <w:u w:val="none"/>
              </w:rPr>
              <w:t>11000</w:t>
            </w:r>
          </w:p>
        </w:tc>
      </w:tr>
    </w:tbl>
    <w:p>
      <w:pPr>
        <w:spacing w:before="240" w:after="0"/>
        <w:jc w:val="both"/>
      </w:pPr>
    </w:p>
    <w:p>
      <w:pPr>
        <w:spacing w:before="0" w:after="0"/>
        <w:ind w:firstLine="720"/>
        <w:jc w:val="both"/>
      </w:pPr>
      <w:r>
        <w:rPr>
          <w:rFonts w:ascii="Times New Roman" w:hAnsi="Times New Roman"/>
          <w:b w:val="0"/>
          <w:i w:val="0"/>
          <w:sz w:val="24"/>
          <w:u w:val="none"/>
        </w:rPr>
        <w:t>Klasy injection (F1=0.75) i brute_force (F1=0.89) osiągają niższe wyniki z powodu nakładania się rozkładów cech z innymi klasami ataków aplikacyjnych. Klasy normal, backdoor, dns_exfiltration i port_scan uzyskują F1=1.00, co potwierdza wyraźną separowalność tych wzorców ruchowych. Rysunek 2 przedstawia ważność cech (mean decrease in impurity) dla 15 najistotniejszych zmiennych wejściowych.</w:t>
      </w:r>
    </w:p>
    <w:p>
      <w:pPr>
        <w:spacing w:before="120" w:after="0"/>
        <w:jc w:val="both"/>
      </w:pPr>
    </w:p>
    <w:p>
      <w:pPr>
        <w:spacing w:before="0" w:after="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029200" cy="3352800"/>
                    </a:xfrm>
                    <a:prstGeom prst="rect"/>
                  </pic:spPr>
                </pic:pic>
              </a:graphicData>
            </a:graphic>
          </wp:inline>
        </w:drawing>
      </w:r>
    </w:p>
    <w:p>
      <w:pPr>
        <w:spacing w:before="120" w:after="240"/>
        <w:jc w:val="center"/>
      </w:pPr>
      <w:r>
        <w:rPr>
          <w:rFonts w:ascii="Times New Roman" w:hAnsi="Times New Roman"/>
          <w:b w:val="0"/>
          <w:i w:val="0"/>
          <w:sz w:val="20"/>
          <w:u w:val="none"/>
        </w:rPr>
        <w:t>Rys. 2. Ważność cech klasyfikatora Random Forest (top 15) (opracowanie własne)</w:t>
      </w:r>
    </w:p>
    <w:p>
      <w:pPr>
        <w:spacing w:before="240" w:after="240"/>
        <w:jc w:val="center"/>
      </w:pPr>
      <w:r>
        <w:rPr>
          <w:rFonts w:ascii="Times New Roman" w:hAnsi="Times New Roman"/>
          <w:b w:val="0"/>
          <w:i w:val="0"/>
          <w:sz w:val="26"/>
          <w:u w:val="none"/>
        </w:rPr>
        <w:t>4.3 Mapowanie predykcji na MITRE ATT&amp;CK</w:t>
      </w:r>
    </w:p>
    <w:p>
      <w:pPr>
        <w:spacing w:before="0" w:after="0"/>
        <w:ind w:firstLine="720"/>
        <w:jc w:val="both"/>
      </w:pPr>
      <w:r>
        <w:rPr>
          <w:rFonts w:ascii="Times New Roman" w:hAnsi="Times New Roman"/>
          <w:b w:val="0"/>
          <w:i w:val="0"/>
          <w:sz w:val="24"/>
          <w:u w:val="none"/>
        </w:rPr>
        <w:t>Każda klasa ataku jest statycznie mapowana na taktykę, technikę i poziom krytyczności frameworku ATT&amp;CK przy użyciu pliku konfiguracyjnego mitre_map.json. Mapowanie prezentuje tabela 2.</w:t>
      </w:r>
    </w:p>
    <w:p>
      <w:pPr>
        <w:spacing w:before="240" w:after="120"/>
        <w:jc w:val="left"/>
      </w:pPr>
      <w:r>
        <w:rPr>
          <w:rFonts w:ascii="Times New Roman" w:hAnsi="Times New Roman"/>
          <w:b w:val="0"/>
          <w:i w:val="0"/>
          <w:sz w:val="20"/>
          <w:u w:val="none"/>
        </w:rPr>
        <w:t>Tabela 2. Mapowanie klas ataków na MITRE ATT&amp;CK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Times New Roman" w:hAnsi="Times New Roman"/>
                <w:b/>
                <w:i w:val="0"/>
                <w:sz w:val="20"/>
                <w:u w:val="none"/>
              </w:rPr>
              <w:t>Klasa ataku</w:t>
            </w:r>
          </w:p>
        </w:tc>
        <w:tc>
          <w:tcPr>
            <w:tcW w:type="dxa" w:w="1814"/>
          </w:tcPr>
          <w:p>
            <w:pPr>
              <w:jc w:val="center"/>
            </w:pPr>
            <w:r>
              <w:rPr>
                <w:rFonts w:ascii="Times New Roman" w:hAnsi="Times New Roman"/>
                <w:b/>
                <w:i w:val="0"/>
                <w:sz w:val="20"/>
                <w:u w:val="none"/>
              </w:rPr>
              <w:t>Taktyka</w:t>
            </w:r>
          </w:p>
        </w:tc>
        <w:tc>
          <w:tcPr>
            <w:tcW w:type="dxa" w:w="1814"/>
          </w:tcPr>
          <w:p>
            <w:pPr>
              <w:jc w:val="center"/>
            </w:pPr>
            <w:r>
              <w:rPr>
                <w:rFonts w:ascii="Times New Roman" w:hAnsi="Times New Roman"/>
                <w:b/>
                <w:i w:val="0"/>
                <w:sz w:val="20"/>
                <w:u w:val="none"/>
              </w:rPr>
              <w:t>Technika</w:t>
            </w:r>
          </w:p>
        </w:tc>
        <w:tc>
          <w:tcPr>
            <w:tcW w:type="dxa" w:w="1814"/>
          </w:tcPr>
          <w:p>
            <w:pPr>
              <w:jc w:val="center"/>
            </w:pPr>
            <w:r>
              <w:rPr>
                <w:rFonts w:ascii="Times New Roman" w:hAnsi="Times New Roman"/>
                <w:b/>
                <w:i w:val="0"/>
                <w:sz w:val="20"/>
                <w:u w:val="none"/>
              </w:rPr>
              <w:t>Nazwa techniki</w:t>
            </w:r>
          </w:p>
        </w:tc>
        <w:tc>
          <w:tcPr>
            <w:tcW w:type="dxa" w:w="1814"/>
          </w:tcPr>
          <w:p>
            <w:pPr>
              <w:jc w:val="center"/>
            </w:pPr>
            <w:r>
              <w:rPr>
                <w:rFonts w:ascii="Times New Roman" w:hAnsi="Times New Roman"/>
                <w:b/>
                <w:i w:val="0"/>
                <w:sz w:val="20"/>
                <w:u w:val="none"/>
              </w:rPr>
              <w:t>Severity</w:t>
            </w:r>
          </w:p>
        </w:tc>
      </w:tr>
      <w:tr>
        <w:tc>
          <w:tcPr>
            <w:tcW w:type="dxa" w:w="1814"/>
          </w:tcPr>
          <w:p>
            <w:pPr>
              <w:jc w:val="center"/>
            </w:pPr>
            <w:r>
              <w:rPr>
                <w:rFonts w:ascii="Times New Roman" w:hAnsi="Times New Roman"/>
                <w:b w:val="0"/>
                <w:i w:val="0"/>
                <w:sz w:val="20"/>
                <w:u w:val="none"/>
              </w:rPr>
              <w:t>backdoor</w:t>
            </w:r>
          </w:p>
        </w:tc>
        <w:tc>
          <w:tcPr>
            <w:tcW w:type="dxa" w:w="1814"/>
          </w:tcPr>
          <w:p>
            <w:pPr>
              <w:jc w:val="center"/>
            </w:pPr>
            <w:r>
              <w:rPr>
                <w:rFonts w:ascii="Times New Roman" w:hAnsi="Times New Roman"/>
                <w:b w:val="0"/>
                <w:i w:val="0"/>
                <w:sz w:val="20"/>
                <w:u w:val="none"/>
              </w:rPr>
              <w:t>Persistence</w:t>
            </w:r>
          </w:p>
        </w:tc>
        <w:tc>
          <w:tcPr>
            <w:tcW w:type="dxa" w:w="1814"/>
          </w:tcPr>
          <w:p>
            <w:pPr>
              <w:jc w:val="center"/>
            </w:pPr>
            <w:r>
              <w:rPr>
                <w:rFonts w:ascii="Times New Roman" w:hAnsi="Times New Roman"/>
                <w:b w:val="0"/>
                <w:i w:val="0"/>
                <w:sz w:val="20"/>
                <w:u w:val="none"/>
              </w:rPr>
              <w:t>T1505.003</w:t>
            </w:r>
          </w:p>
        </w:tc>
        <w:tc>
          <w:tcPr>
            <w:tcW w:type="dxa" w:w="1814"/>
          </w:tcPr>
          <w:p>
            <w:pPr>
              <w:jc w:val="left"/>
            </w:pPr>
            <w:r>
              <w:rPr>
                <w:rFonts w:ascii="Times New Roman" w:hAnsi="Times New Roman"/>
                <w:b w:val="0"/>
                <w:i w:val="0"/>
                <w:sz w:val="20"/>
                <w:u w:val="none"/>
              </w:rPr>
              <w:t>Server Software Component: Web Shell</w:t>
            </w:r>
          </w:p>
        </w:tc>
        <w:tc>
          <w:tcPr>
            <w:tcW w:type="dxa" w:w="1814"/>
          </w:tcPr>
          <w:p>
            <w:pPr>
              <w:jc w:val="center"/>
            </w:pPr>
            <w:r>
              <w:rPr>
                <w:rFonts w:ascii="Times New Roman" w:hAnsi="Times New Roman"/>
                <w:b w:val="0"/>
                <w:i w:val="0"/>
                <w:sz w:val="20"/>
                <w:u w:val="none"/>
              </w:rPr>
              <w:t>critical</w:t>
            </w:r>
          </w:p>
        </w:tc>
      </w:tr>
      <w:tr>
        <w:tc>
          <w:tcPr>
            <w:tcW w:type="dxa" w:w="1814"/>
          </w:tcPr>
          <w:p>
            <w:pPr>
              <w:jc w:val="center"/>
            </w:pPr>
            <w:r>
              <w:rPr>
                <w:rFonts w:ascii="Times New Roman" w:hAnsi="Times New Roman"/>
                <w:b w:val="0"/>
                <w:i w:val="0"/>
                <w:sz w:val="20"/>
                <w:u w:val="none"/>
              </w:rPr>
              <w:t>brute_force</w:t>
            </w:r>
          </w:p>
        </w:tc>
        <w:tc>
          <w:tcPr>
            <w:tcW w:type="dxa" w:w="1814"/>
          </w:tcPr>
          <w:p>
            <w:pPr>
              <w:jc w:val="center"/>
            </w:pPr>
            <w:r>
              <w:rPr>
                <w:rFonts w:ascii="Times New Roman" w:hAnsi="Times New Roman"/>
                <w:b w:val="0"/>
                <w:i w:val="0"/>
                <w:sz w:val="20"/>
                <w:u w:val="none"/>
              </w:rPr>
              <w:t>Credential Access</w:t>
            </w:r>
          </w:p>
        </w:tc>
        <w:tc>
          <w:tcPr>
            <w:tcW w:type="dxa" w:w="1814"/>
          </w:tcPr>
          <w:p>
            <w:pPr>
              <w:jc w:val="center"/>
            </w:pPr>
            <w:r>
              <w:rPr>
                <w:rFonts w:ascii="Times New Roman" w:hAnsi="Times New Roman"/>
                <w:b w:val="0"/>
                <w:i w:val="0"/>
                <w:sz w:val="20"/>
                <w:u w:val="none"/>
              </w:rPr>
              <w:t>T1110.001</w:t>
            </w:r>
          </w:p>
        </w:tc>
        <w:tc>
          <w:tcPr>
            <w:tcW w:type="dxa" w:w="1814"/>
          </w:tcPr>
          <w:p>
            <w:pPr>
              <w:jc w:val="left"/>
            </w:pPr>
            <w:r>
              <w:rPr>
                <w:rFonts w:ascii="Times New Roman" w:hAnsi="Times New Roman"/>
                <w:b w:val="0"/>
                <w:i w:val="0"/>
                <w:sz w:val="20"/>
                <w:u w:val="none"/>
              </w:rPr>
              <w:t>Brute Force: Password Guessing</w:t>
            </w:r>
          </w:p>
        </w:tc>
        <w:tc>
          <w:tcPr>
            <w:tcW w:type="dxa" w:w="1814"/>
          </w:tcPr>
          <w:p>
            <w:pPr>
              <w:jc w:val="center"/>
            </w:pPr>
            <w:r>
              <w:rPr>
                <w:rFonts w:ascii="Times New Roman" w:hAnsi="Times New Roman"/>
                <w:b w:val="0"/>
                <w:i w:val="0"/>
                <w:sz w:val="20"/>
                <w:u w:val="none"/>
              </w:rPr>
              <w:t>high</w:t>
            </w:r>
          </w:p>
        </w:tc>
      </w:tr>
      <w:tr>
        <w:tc>
          <w:tcPr>
            <w:tcW w:type="dxa" w:w="1814"/>
          </w:tcPr>
          <w:p>
            <w:pPr>
              <w:jc w:val="center"/>
            </w:pPr>
            <w:r>
              <w:rPr>
                <w:rFonts w:ascii="Times New Roman" w:hAnsi="Times New Roman"/>
                <w:b w:val="0"/>
                <w:i w:val="0"/>
                <w:sz w:val="20"/>
                <w:u w:val="none"/>
              </w:rPr>
              <w:t>ddos_flood</w:t>
            </w:r>
          </w:p>
        </w:tc>
        <w:tc>
          <w:tcPr>
            <w:tcW w:type="dxa" w:w="1814"/>
          </w:tcPr>
          <w:p>
            <w:pPr>
              <w:jc w:val="center"/>
            </w:pPr>
            <w:r>
              <w:rPr>
                <w:rFonts w:ascii="Times New Roman" w:hAnsi="Times New Roman"/>
                <w:b w:val="0"/>
                <w:i w:val="0"/>
                <w:sz w:val="20"/>
                <w:u w:val="none"/>
              </w:rPr>
              <w:t>Impact</w:t>
            </w:r>
          </w:p>
        </w:tc>
        <w:tc>
          <w:tcPr>
            <w:tcW w:type="dxa" w:w="1814"/>
          </w:tcPr>
          <w:p>
            <w:pPr>
              <w:jc w:val="center"/>
            </w:pPr>
            <w:r>
              <w:rPr>
                <w:rFonts w:ascii="Times New Roman" w:hAnsi="Times New Roman"/>
                <w:b w:val="0"/>
                <w:i w:val="0"/>
                <w:sz w:val="20"/>
                <w:u w:val="none"/>
              </w:rPr>
              <w:t>T1498.001</w:t>
            </w:r>
          </w:p>
        </w:tc>
        <w:tc>
          <w:tcPr>
            <w:tcW w:type="dxa" w:w="1814"/>
          </w:tcPr>
          <w:p>
            <w:pPr>
              <w:jc w:val="left"/>
            </w:pPr>
            <w:r>
              <w:rPr>
                <w:rFonts w:ascii="Times New Roman" w:hAnsi="Times New Roman"/>
                <w:b w:val="0"/>
                <w:i w:val="0"/>
                <w:sz w:val="20"/>
                <w:u w:val="none"/>
              </w:rPr>
              <w:t>Network Denial of Service: Direct Flood</w:t>
            </w:r>
          </w:p>
        </w:tc>
        <w:tc>
          <w:tcPr>
            <w:tcW w:type="dxa" w:w="1814"/>
          </w:tcPr>
          <w:p>
            <w:pPr>
              <w:jc w:val="center"/>
            </w:pPr>
            <w:r>
              <w:rPr>
                <w:rFonts w:ascii="Times New Roman" w:hAnsi="Times New Roman"/>
                <w:b w:val="0"/>
                <w:i w:val="0"/>
                <w:sz w:val="20"/>
                <w:u w:val="none"/>
              </w:rPr>
              <w:t>critical</w:t>
            </w:r>
          </w:p>
        </w:tc>
      </w:tr>
      <w:tr>
        <w:tc>
          <w:tcPr>
            <w:tcW w:type="dxa" w:w="1814"/>
          </w:tcPr>
          <w:p>
            <w:pPr>
              <w:jc w:val="center"/>
            </w:pPr>
            <w:r>
              <w:rPr>
                <w:rFonts w:ascii="Times New Roman" w:hAnsi="Times New Roman"/>
                <w:b w:val="0"/>
                <w:i w:val="0"/>
                <w:sz w:val="20"/>
                <w:u w:val="none"/>
              </w:rPr>
              <w:t>dns_exfiltration</w:t>
            </w:r>
          </w:p>
        </w:tc>
        <w:tc>
          <w:tcPr>
            <w:tcW w:type="dxa" w:w="1814"/>
          </w:tcPr>
          <w:p>
            <w:pPr>
              <w:jc w:val="center"/>
            </w:pPr>
            <w:r>
              <w:rPr>
                <w:rFonts w:ascii="Times New Roman" w:hAnsi="Times New Roman"/>
                <w:b w:val="0"/>
                <w:i w:val="0"/>
                <w:sz w:val="20"/>
                <w:u w:val="none"/>
              </w:rPr>
              <w:t>Exfiltration</w:t>
            </w:r>
          </w:p>
        </w:tc>
        <w:tc>
          <w:tcPr>
            <w:tcW w:type="dxa" w:w="1814"/>
          </w:tcPr>
          <w:p>
            <w:pPr>
              <w:jc w:val="center"/>
            </w:pPr>
            <w:r>
              <w:rPr>
                <w:rFonts w:ascii="Times New Roman" w:hAnsi="Times New Roman"/>
                <w:b w:val="0"/>
                <w:i w:val="0"/>
                <w:sz w:val="20"/>
                <w:u w:val="none"/>
              </w:rPr>
              <w:t>T1048.001</w:t>
            </w:r>
          </w:p>
        </w:tc>
        <w:tc>
          <w:tcPr>
            <w:tcW w:type="dxa" w:w="1814"/>
          </w:tcPr>
          <w:p>
            <w:pPr>
              <w:jc w:val="left"/>
            </w:pPr>
            <w:r>
              <w:rPr>
                <w:rFonts w:ascii="Times New Roman" w:hAnsi="Times New Roman"/>
                <w:b w:val="0"/>
                <w:i w:val="0"/>
                <w:sz w:val="20"/>
                <w:u w:val="none"/>
              </w:rPr>
              <w:t>Exfiltration Over Alternative Protocol</w:t>
            </w:r>
          </w:p>
        </w:tc>
        <w:tc>
          <w:tcPr>
            <w:tcW w:type="dxa" w:w="1814"/>
          </w:tcPr>
          <w:p>
            <w:pPr>
              <w:jc w:val="center"/>
            </w:pPr>
            <w:r>
              <w:rPr>
                <w:rFonts w:ascii="Times New Roman" w:hAnsi="Times New Roman"/>
                <w:b w:val="0"/>
                <w:i w:val="0"/>
                <w:sz w:val="20"/>
                <w:u w:val="none"/>
              </w:rPr>
              <w:t>critical</w:t>
            </w:r>
          </w:p>
        </w:tc>
      </w:tr>
      <w:tr>
        <w:tc>
          <w:tcPr>
            <w:tcW w:type="dxa" w:w="1814"/>
          </w:tcPr>
          <w:p>
            <w:pPr>
              <w:jc w:val="center"/>
            </w:pPr>
            <w:r>
              <w:rPr>
                <w:rFonts w:ascii="Times New Roman" w:hAnsi="Times New Roman"/>
                <w:b w:val="0"/>
                <w:i w:val="0"/>
                <w:sz w:val="20"/>
                <w:u w:val="none"/>
              </w:rPr>
              <w:t>dos</w:t>
            </w:r>
          </w:p>
        </w:tc>
        <w:tc>
          <w:tcPr>
            <w:tcW w:type="dxa" w:w="1814"/>
          </w:tcPr>
          <w:p>
            <w:pPr>
              <w:jc w:val="center"/>
            </w:pPr>
            <w:r>
              <w:rPr>
                <w:rFonts w:ascii="Times New Roman" w:hAnsi="Times New Roman"/>
                <w:b w:val="0"/>
                <w:i w:val="0"/>
                <w:sz w:val="20"/>
                <w:u w:val="none"/>
              </w:rPr>
              <w:t>Impact</w:t>
            </w:r>
          </w:p>
        </w:tc>
        <w:tc>
          <w:tcPr>
            <w:tcW w:type="dxa" w:w="1814"/>
          </w:tcPr>
          <w:p>
            <w:pPr>
              <w:jc w:val="center"/>
            </w:pPr>
            <w:r>
              <w:rPr>
                <w:rFonts w:ascii="Times New Roman" w:hAnsi="Times New Roman"/>
                <w:b w:val="0"/>
                <w:i w:val="0"/>
                <w:sz w:val="20"/>
                <w:u w:val="none"/>
              </w:rPr>
              <w:t>T1499.001</w:t>
            </w:r>
          </w:p>
        </w:tc>
        <w:tc>
          <w:tcPr>
            <w:tcW w:type="dxa" w:w="1814"/>
          </w:tcPr>
          <w:p>
            <w:pPr>
              <w:jc w:val="left"/>
            </w:pPr>
            <w:r>
              <w:rPr>
                <w:rFonts w:ascii="Times New Roman" w:hAnsi="Times New Roman"/>
                <w:b w:val="0"/>
                <w:i w:val="0"/>
                <w:sz w:val="20"/>
                <w:u w:val="none"/>
              </w:rPr>
              <w:t>Endpoint Denial of Service: OS Exhaustion</w:t>
            </w:r>
          </w:p>
        </w:tc>
        <w:tc>
          <w:tcPr>
            <w:tcW w:type="dxa" w:w="1814"/>
          </w:tcPr>
          <w:p>
            <w:pPr>
              <w:jc w:val="center"/>
            </w:pPr>
            <w:r>
              <w:rPr>
                <w:rFonts w:ascii="Times New Roman" w:hAnsi="Times New Roman"/>
                <w:b w:val="0"/>
                <w:i w:val="0"/>
                <w:sz w:val="20"/>
                <w:u w:val="none"/>
              </w:rPr>
              <w:t>high</w:t>
            </w:r>
          </w:p>
        </w:tc>
      </w:tr>
      <w:tr>
        <w:tc>
          <w:tcPr>
            <w:tcW w:type="dxa" w:w="1814"/>
          </w:tcPr>
          <w:p>
            <w:pPr>
              <w:jc w:val="center"/>
            </w:pPr>
            <w:r>
              <w:rPr>
                <w:rFonts w:ascii="Times New Roman" w:hAnsi="Times New Roman"/>
                <w:b w:val="0"/>
                <w:i w:val="0"/>
                <w:sz w:val="20"/>
                <w:u w:val="none"/>
              </w:rPr>
              <w:t>injection</w:t>
            </w:r>
          </w:p>
        </w:tc>
        <w:tc>
          <w:tcPr>
            <w:tcW w:type="dxa" w:w="1814"/>
          </w:tcPr>
          <w:p>
            <w:pPr>
              <w:jc w:val="center"/>
            </w:pPr>
            <w:r>
              <w:rPr>
                <w:rFonts w:ascii="Times New Roman" w:hAnsi="Times New Roman"/>
                <w:b w:val="0"/>
                <w:i w:val="0"/>
                <w:sz w:val="20"/>
                <w:u w:val="none"/>
              </w:rPr>
              <w:t>Execution</w:t>
            </w:r>
          </w:p>
        </w:tc>
        <w:tc>
          <w:tcPr>
            <w:tcW w:type="dxa" w:w="1814"/>
          </w:tcPr>
          <w:p>
            <w:pPr>
              <w:jc w:val="center"/>
            </w:pPr>
            <w:r>
              <w:rPr>
                <w:rFonts w:ascii="Times New Roman" w:hAnsi="Times New Roman"/>
                <w:b w:val="0"/>
                <w:i w:val="0"/>
                <w:sz w:val="20"/>
                <w:u w:val="none"/>
              </w:rPr>
              <w:t>T1059</w:t>
            </w:r>
          </w:p>
        </w:tc>
        <w:tc>
          <w:tcPr>
            <w:tcW w:type="dxa" w:w="1814"/>
          </w:tcPr>
          <w:p>
            <w:pPr>
              <w:jc w:val="left"/>
            </w:pPr>
            <w:r>
              <w:rPr>
                <w:rFonts w:ascii="Times New Roman" w:hAnsi="Times New Roman"/>
                <w:b w:val="0"/>
                <w:i w:val="0"/>
                <w:sz w:val="20"/>
                <w:u w:val="none"/>
              </w:rPr>
              <w:t>Command and Scripting Interpreter</w:t>
            </w:r>
          </w:p>
        </w:tc>
        <w:tc>
          <w:tcPr>
            <w:tcW w:type="dxa" w:w="1814"/>
          </w:tcPr>
          <w:p>
            <w:pPr>
              <w:jc w:val="center"/>
            </w:pPr>
            <w:r>
              <w:rPr>
                <w:rFonts w:ascii="Times New Roman" w:hAnsi="Times New Roman"/>
                <w:b w:val="0"/>
                <w:i w:val="0"/>
                <w:sz w:val="20"/>
                <w:u w:val="none"/>
              </w:rPr>
              <w:t>critical</w:t>
            </w:r>
          </w:p>
        </w:tc>
      </w:tr>
      <w:tr>
        <w:tc>
          <w:tcPr>
            <w:tcW w:type="dxa" w:w="1814"/>
          </w:tcPr>
          <w:p>
            <w:pPr>
              <w:jc w:val="center"/>
            </w:pPr>
            <w:r>
              <w:rPr>
                <w:rFonts w:ascii="Times New Roman" w:hAnsi="Times New Roman"/>
                <w:b w:val="0"/>
                <w:i w:val="0"/>
                <w:sz w:val="20"/>
                <w:u w:val="none"/>
              </w:rPr>
              <w:t>normal</w:t>
            </w:r>
          </w:p>
        </w:tc>
        <w:tc>
          <w:tcPr>
            <w:tcW w:type="dxa" w:w="1814"/>
          </w:tcPr>
          <w:p>
            <w:pPr>
              <w:jc w:val="center"/>
            </w:pPr>
            <w:r>
              <w:rPr>
                <w:rFonts w:ascii="Times New Roman" w:hAnsi="Times New Roman"/>
                <w:b w:val="0"/>
                <w:i w:val="0"/>
                <w:sz w:val="20"/>
                <w:u w:val="none"/>
              </w:rPr>
              <w:t>—</w:t>
            </w:r>
          </w:p>
        </w:tc>
        <w:tc>
          <w:tcPr>
            <w:tcW w:type="dxa" w:w="1814"/>
          </w:tcPr>
          <w:p>
            <w:pPr>
              <w:jc w:val="center"/>
            </w:pPr>
            <w:r>
              <w:rPr>
                <w:rFonts w:ascii="Times New Roman" w:hAnsi="Times New Roman"/>
                <w:b w:val="0"/>
                <w:i w:val="0"/>
                <w:sz w:val="20"/>
                <w:u w:val="none"/>
              </w:rPr>
              <w:t>—</w:t>
            </w:r>
          </w:p>
        </w:tc>
        <w:tc>
          <w:tcPr>
            <w:tcW w:type="dxa" w:w="1814"/>
          </w:tcPr>
          <w:p>
            <w:pPr>
              <w:jc w:val="left"/>
            </w:pPr>
            <w:r>
              <w:rPr>
                <w:rFonts w:ascii="Times New Roman" w:hAnsi="Times New Roman"/>
                <w:b w:val="0"/>
                <w:i w:val="0"/>
                <w:sz w:val="20"/>
                <w:u w:val="none"/>
              </w:rPr>
              <w:t>—</w:t>
            </w:r>
          </w:p>
        </w:tc>
        <w:tc>
          <w:tcPr>
            <w:tcW w:type="dxa" w:w="1814"/>
          </w:tcPr>
          <w:p>
            <w:pPr>
              <w:jc w:val="center"/>
            </w:pPr>
            <w:r>
              <w:rPr>
                <w:rFonts w:ascii="Times New Roman" w:hAnsi="Times New Roman"/>
                <w:b w:val="0"/>
                <w:i w:val="0"/>
                <w:sz w:val="20"/>
                <w:u w:val="none"/>
              </w:rPr>
              <w:t>—</w:t>
            </w:r>
          </w:p>
        </w:tc>
      </w:tr>
      <w:tr>
        <w:tc>
          <w:tcPr>
            <w:tcW w:type="dxa" w:w="1814"/>
          </w:tcPr>
          <w:p>
            <w:pPr>
              <w:jc w:val="center"/>
            </w:pPr>
            <w:r>
              <w:rPr>
                <w:rFonts w:ascii="Times New Roman" w:hAnsi="Times New Roman"/>
                <w:b w:val="0"/>
                <w:i w:val="0"/>
                <w:sz w:val="20"/>
                <w:u w:val="none"/>
              </w:rPr>
              <w:t>port_scan</w:t>
            </w:r>
          </w:p>
        </w:tc>
        <w:tc>
          <w:tcPr>
            <w:tcW w:type="dxa" w:w="1814"/>
          </w:tcPr>
          <w:p>
            <w:pPr>
              <w:jc w:val="center"/>
            </w:pPr>
            <w:r>
              <w:rPr>
                <w:rFonts w:ascii="Times New Roman" w:hAnsi="Times New Roman"/>
                <w:b w:val="0"/>
                <w:i w:val="0"/>
                <w:sz w:val="20"/>
                <w:u w:val="none"/>
              </w:rPr>
              <w:t>Discovery</w:t>
            </w:r>
          </w:p>
        </w:tc>
        <w:tc>
          <w:tcPr>
            <w:tcW w:type="dxa" w:w="1814"/>
          </w:tcPr>
          <w:p>
            <w:pPr>
              <w:jc w:val="center"/>
            </w:pPr>
            <w:r>
              <w:rPr>
                <w:rFonts w:ascii="Times New Roman" w:hAnsi="Times New Roman"/>
                <w:b w:val="0"/>
                <w:i w:val="0"/>
                <w:sz w:val="20"/>
                <w:u w:val="none"/>
              </w:rPr>
              <w:t>T1046</w:t>
            </w:r>
          </w:p>
        </w:tc>
        <w:tc>
          <w:tcPr>
            <w:tcW w:type="dxa" w:w="1814"/>
          </w:tcPr>
          <w:p>
            <w:pPr>
              <w:jc w:val="left"/>
            </w:pPr>
            <w:r>
              <w:rPr>
                <w:rFonts w:ascii="Times New Roman" w:hAnsi="Times New Roman"/>
                <w:b w:val="0"/>
                <w:i w:val="0"/>
                <w:sz w:val="20"/>
                <w:u w:val="none"/>
              </w:rPr>
              <w:t>Network Service Discovery</w:t>
            </w:r>
          </w:p>
        </w:tc>
        <w:tc>
          <w:tcPr>
            <w:tcW w:type="dxa" w:w="1814"/>
          </w:tcPr>
          <w:p>
            <w:pPr>
              <w:jc w:val="center"/>
            </w:pPr>
            <w:r>
              <w:rPr>
                <w:rFonts w:ascii="Times New Roman" w:hAnsi="Times New Roman"/>
                <w:b w:val="0"/>
                <w:i w:val="0"/>
                <w:sz w:val="20"/>
                <w:u w:val="none"/>
              </w:rPr>
              <w:t>medium</w:t>
            </w:r>
          </w:p>
        </w:tc>
      </w:tr>
      <w:tr>
        <w:tc>
          <w:tcPr>
            <w:tcW w:type="dxa" w:w="1814"/>
          </w:tcPr>
          <w:p>
            <w:pPr>
              <w:jc w:val="center"/>
            </w:pPr>
            <w:r>
              <w:rPr>
                <w:rFonts w:ascii="Times New Roman" w:hAnsi="Times New Roman"/>
                <w:b w:val="0"/>
                <w:i w:val="0"/>
                <w:sz w:val="20"/>
                <w:u w:val="none"/>
              </w:rPr>
              <w:t>xss</w:t>
            </w:r>
          </w:p>
        </w:tc>
        <w:tc>
          <w:tcPr>
            <w:tcW w:type="dxa" w:w="1814"/>
          </w:tcPr>
          <w:p>
            <w:pPr>
              <w:jc w:val="center"/>
            </w:pPr>
            <w:r>
              <w:rPr>
                <w:rFonts w:ascii="Times New Roman" w:hAnsi="Times New Roman"/>
                <w:b w:val="0"/>
                <w:i w:val="0"/>
                <w:sz w:val="20"/>
                <w:u w:val="none"/>
              </w:rPr>
              <w:t>Initial Access</w:t>
            </w:r>
          </w:p>
        </w:tc>
        <w:tc>
          <w:tcPr>
            <w:tcW w:type="dxa" w:w="1814"/>
          </w:tcPr>
          <w:p>
            <w:pPr>
              <w:jc w:val="center"/>
            </w:pPr>
            <w:r>
              <w:rPr>
                <w:rFonts w:ascii="Times New Roman" w:hAnsi="Times New Roman"/>
                <w:b w:val="0"/>
                <w:i w:val="0"/>
                <w:sz w:val="20"/>
                <w:u w:val="none"/>
              </w:rPr>
              <w:t>T1189</w:t>
            </w:r>
          </w:p>
        </w:tc>
        <w:tc>
          <w:tcPr>
            <w:tcW w:type="dxa" w:w="1814"/>
          </w:tcPr>
          <w:p>
            <w:pPr>
              <w:jc w:val="left"/>
            </w:pPr>
            <w:r>
              <w:rPr>
                <w:rFonts w:ascii="Times New Roman" w:hAnsi="Times New Roman"/>
                <w:b w:val="0"/>
                <w:i w:val="0"/>
                <w:sz w:val="20"/>
                <w:u w:val="none"/>
              </w:rPr>
              <w:t>Drive-by Compromise</w:t>
            </w:r>
          </w:p>
        </w:tc>
        <w:tc>
          <w:tcPr>
            <w:tcW w:type="dxa" w:w="1814"/>
          </w:tcPr>
          <w:p>
            <w:pPr>
              <w:jc w:val="center"/>
            </w:pPr>
            <w:r>
              <w:rPr>
                <w:rFonts w:ascii="Times New Roman" w:hAnsi="Times New Roman"/>
                <w:b w:val="0"/>
                <w:i w:val="0"/>
                <w:sz w:val="20"/>
                <w:u w:val="none"/>
              </w:rPr>
              <w:t>high</w:t>
            </w:r>
          </w:p>
        </w:tc>
      </w:tr>
    </w:tbl>
    <w:p>
      <w:pPr>
        <w:spacing w:before="240" w:after="0"/>
        <w:jc w:val="both"/>
      </w:pPr>
    </w:p>
    <w:p>
      <w:pPr>
        <w:spacing w:before="0" w:after="0"/>
        <w:ind w:firstLine="720"/>
        <w:jc w:val="both"/>
      </w:pPr>
      <w:r>
        <w:rPr>
          <w:rFonts w:ascii="Times New Roman" w:hAnsi="Times New Roman"/>
          <w:b w:val="0"/>
          <w:i w:val="0"/>
          <w:sz w:val="24"/>
          <w:u w:val="none"/>
        </w:rPr>
        <w:t>W dashboardzie Kibana alerty są wyzwalane automatycznie dla zdarzeń o severity=critical (backdoor, ddos_flood, dns_exfiltration, injection) i severity=high (brute_force, dos, xss). Mapowanie jest przechowywane w pliku mitre_map.json, co ułatwia jego rozszerzenie o nowe klasy ataków bez modyfikacji kodu klasyfikatora.</w:t>
      </w:r>
    </w:p>
    <w:p>
      <w:pPr>
        <w:spacing w:before="240" w:after="240"/>
        <w:jc w:val="center"/>
      </w:pPr>
      <w:r>
        <w:rPr>
          <w:rFonts w:ascii="Times New Roman" w:hAnsi="Times New Roman"/>
          <w:b/>
          <w:i w:val="0"/>
          <w:sz w:val="26"/>
          <w:u w:val="none"/>
        </w:rPr>
        <w:t>5. WERYFIKACJA I DEMONSTRACJA SYSTEMU</w:t>
      </w:r>
    </w:p>
    <w:p>
      <w:pPr>
        <w:spacing w:before="240" w:after="240"/>
        <w:jc w:val="center"/>
      </w:pPr>
      <w:r>
        <w:rPr>
          <w:rFonts w:ascii="Times New Roman" w:hAnsi="Times New Roman"/>
          <w:b w:val="0"/>
          <w:i w:val="0"/>
          <w:sz w:val="26"/>
          <w:u w:val="none"/>
        </w:rPr>
        <w:t>5.1 Demonstracja w czasie rzeczywistym</w:t>
      </w:r>
    </w:p>
    <w:p>
      <w:pPr>
        <w:spacing w:before="0" w:after="0"/>
        <w:ind w:firstLine="720"/>
        <w:jc w:val="both"/>
      </w:pPr>
      <w:r>
        <w:rPr>
          <w:rFonts w:ascii="Times New Roman" w:hAnsi="Times New Roman"/>
          <w:b w:val="0"/>
          <w:i w:val="0"/>
          <w:sz w:val="24"/>
          <w:u w:val="none"/>
        </w:rPr>
        <w:t>Kompletny cykl demonstracyjny uruchamia polecenie:</w:t>
      </w:r>
    </w:p>
    <w:p>
      <w:pPr>
        <w:spacing w:before="120" w:after="120"/>
        <w:jc w:val="left"/>
      </w:pPr>
      <w:r>
        <w:rPr>
          <w:rFonts w:ascii="Courier New" w:hAnsi="Courier New"/>
          <w:b w:val="0"/>
          <w:i w:val="0"/>
          <w:sz w:val="20"/>
          <w:u w:val="none"/>
        </w:rPr>
        <w:t>sudo .venv/bin/python3 scripts/live_demo_with_attacks.py --minutes 3 --attacks 300</w:t>
      </w:r>
    </w:p>
    <w:p>
      <w:pPr>
        <w:spacing w:before="0" w:after="0"/>
        <w:ind w:firstLine="720"/>
        <w:jc w:val="both"/>
      </w:pPr>
      <w:r>
        <w:rPr>
          <w:rFonts w:ascii="Times New Roman" w:hAnsi="Times New Roman"/>
          <w:b w:val="0"/>
          <w:i w:val="0"/>
          <w:sz w:val="24"/>
          <w:u w:val="none"/>
        </w:rPr>
        <w:t>Skrypt równolegle przechwytuje ruch WiFi przez tshark oraz generuje 300 symulowanych zdarzeń ataku, zapisując wyniki do pliku NDJSON. Filebeat wykrywa zmianę pliku i przesyła nowe zdarzenia przez mTLS do Logstasha, który je indeksuje do Elasticsearch. Moduł ML pobiera świeże zdarzenia przez Python ES client (elasticsearch==8.x), klasyfikuje je i zapisuje predykcje do indeksu iot-radar-predictions. Cały cykl od przechwycenia pakietu do pojawienia się predykcji w Kibana zamyka się w czasie poniżej 2 minut.</w:t>
      </w:r>
    </w:p>
    <w:p>
      <w:pPr>
        <w:spacing w:before="0" w:after="0"/>
        <w:ind w:firstLine="720"/>
        <w:jc w:val="both"/>
      </w:pPr>
      <w:r>
        <w:rPr>
          <w:rFonts w:ascii="Times New Roman" w:hAnsi="Times New Roman"/>
          <w:b w:val="0"/>
          <w:i w:val="0"/>
          <w:sz w:val="24"/>
          <w:u w:val="none"/>
        </w:rPr>
        <w:t>W toku weryfikacji zindeksowano łącznie 55 280 zdarzeń ze źródeł:</w:t>
      </w:r>
    </w:p>
    <w:p>
      <w:pPr>
        <w:spacing w:before="120" w:after="0"/>
        <w:jc w:val="both"/>
      </w:pPr>
      <w:r>
        <w:rPr>
          <w:rFonts w:ascii="Times New Roman" w:hAnsi="Times New Roman"/>
          <w:b w:val="0"/>
          <w:i w:val="0"/>
          <w:sz w:val="24"/>
          <w:u w:val="none"/>
        </w:rPr>
        <w:t>– toniot_benchmark: 50 000 zdarzeń (NF-ToN-IoT-v2, balans 50/50 normal/attack);</w:t>
      </w:r>
    </w:p>
    <w:p>
      <w:pPr>
        <w:spacing w:before="0" w:after="0"/>
        <w:jc w:val="both"/>
      </w:pPr>
      <w:r>
        <w:rPr>
          <w:rFonts w:ascii="Times New Roman" w:hAnsi="Times New Roman"/>
          <w:b w:val="0"/>
          <w:i w:val="0"/>
          <w:sz w:val="24"/>
          <w:u w:val="none"/>
        </w:rPr>
        <w:t>– simulated: 5 000 zdarzeń (skrypt generate_attacks.py, stosunek 90/10);</w:t>
      </w:r>
    </w:p>
    <w:p>
      <w:pPr>
        <w:spacing w:before="0" w:after="120"/>
        <w:jc w:val="both"/>
      </w:pPr>
      <w:r>
        <w:rPr>
          <w:rFonts w:ascii="Times New Roman" w:hAnsi="Times New Roman"/>
          <w:b w:val="0"/>
          <w:i w:val="0"/>
          <w:sz w:val="24"/>
          <w:u w:val="none"/>
        </w:rPr>
        <w:t>– tshark-live: 265 zdarzeń (rzeczywisty ruch WiFi, brak ground-truth ataków).</w:t>
      </w:r>
    </w:p>
    <w:p>
      <w:pPr>
        <w:spacing w:before="240" w:after="240"/>
        <w:jc w:val="center"/>
      </w:pPr>
      <w:r>
        <w:rPr>
          <w:rFonts w:ascii="Times New Roman" w:hAnsi="Times New Roman"/>
          <w:b w:val="0"/>
          <w:i w:val="0"/>
          <w:sz w:val="26"/>
          <w:u w:val="none"/>
        </w:rPr>
        <w:t>5.2 Dashboardy Kibana</w:t>
      </w:r>
    </w:p>
    <w:p>
      <w:pPr>
        <w:spacing w:before="0" w:after="0"/>
        <w:ind w:firstLine="720"/>
        <w:jc w:val="both"/>
      </w:pPr>
      <w:r>
        <w:rPr>
          <w:rFonts w:ascii="Times New Roman" w:hAnsi="Times New Roman"/>
          <w:b w:val="0"/>
          <w:i w:val="0"/>
          <w:sz w:val="24"/>
          <w:u w:val="none"/>
        </w:rPr>
        <w:t>SOC Dashboard oparty na indeksie iot-radar-* prezentuje rozkład typów ataków (treemap według attack_type), oś czasu zdarzeń, mapę taktyk MITRE oraz tabelę top IP źródłowych. Dashboard ten opiera się na etykietach ground-truth, co czyni go narzędziem do analizy rzeczywiście zaetykietowanych danych.</w:t>
      </w:r>
    </w:p>
    <w:p>
      <w:pPr>
        <w:spacing w:before="0" w:after="0"/>
        <w:ind w:firstLine="720"/>
        <w:jc w:val="both"/>
      </w:pPr>
      <w:r>
        <w:rPr>
          <w:rFonts w:ascii="Times New Roman" w:hAnsi="Times New Roman"/>
          <w:b w:val="0"/>
          <w:i w:val="0"/>
          <w:sz w:val="24"/>
          <w:u w:val="none"/>
        </w:rPr>
        <w:t>ML Predictions Dashboard oparty na indeksie iot-radar-predictions pokazuje wyniki działania modelu: rozkład predykowanych klas, rozkład pewności (confidence) klasyfikatora, breakdown zdarzeń według ml_mitre_tactic oraz historię wyzwolonych alertów. Dla zdarzeń tshark-live jest to jedyne miejsce w systemie, w którym ruch rzeczywisty uzyskuje klasyfikację bezpieczeństwa — w indeksie surowym brak jest ground-truth.</w:t>
      </w:r>
    </w:p>
    <w:p>
      <w:pPr>
        <w:spacing w:before="0" w:after="0"/>
        <w:ind w:firstLine="720"/>
        <w:jc w:val="both"/>
      </w:pPr>
      <w:r>
        <w:rPr>
          <w:rFonts w:ascii="Times New Roman" w:hAnsi="Times New Roman"/>
          <w:b w:val="0"/>
          <w:i w:val="0"/>
          <w:sz w:val="24"/>
          <w:u w:val="none"/>
        </w:rPr>
        <w:t>Walidacja systemu obejmuje dwie perspektywy: ilościową (97% accuracy, szczegółowy classification report) na danych benchmarkowych z etykietami ground-truth oraz jakościową na ~265 rzeczywistych przepływach WiFi bez etykiet — co autorzy formułują jako: System zwalidowano na 55 000 zaetykietowanych zdarzeniach, a nastepnie zastosowano na ~265 niezaetykietowanych przeplywach WiFi, dla ktorych nie istnieje uprzedni ground-truth.</w:t>
      </w:r>
    </w:p>
    <w:p>
      <w:pPr>
        <w:spacing w:before="480" w:after="240"/>
        <w:jc w:val="center"/>
      </w:pPr>
      <w:r>
        <w:rPr>
          <w:rFonts w:ascii="Times New Roman" w:hAnsi="Times New Roman"/>
          <w:b/>
          <w:i w:val="0"/>
          <w:sz w:val="26"/>
          <w:u w:val="none"/>
        </w:rPr>
        <w:t>WNIOSKI</w:t>
      </w:r>
    </w:p>
    <w:p>
      <w:pPr>
        <w:spacing w:before="0" w:after="0"/>
        <w:ind w:firstLine="720"/>
        <w:jc w:val="both"/>
      </w:pPr>
      <w:r>
        <w:rPr>
          <w:rFonts w:ascii="Times New Roman" w:hAnsi="Times New Roman"/>
          <w:b w:val="0"/>
          <w:i w:val="0"/>
          <w:sz w:val="24"/>
          <w:u w:val="none"/>
        </w:rPr>
        <w:t>System IoT Security Radar skutecznie realizuje zamierzony cel: lokalne monitorowanie sieci IoT z detekcją i klasyfikacją ataków w czasie rzeczywistym bez zależności od zewnętrznych usług chmurowych. Klasyfikator Random Forest osiąga dokładność 97% na zbiorze 11 000 próbek testowych, a architektura dwuindeksowa umożliwia niezależną ewaluację modelu i analizę operacyjną w kontekście MITRE ATT&amp;CK.</w:t>
      </w:r>
    </w:p>
    <w:p>
      <w:pPr>
        <w:spacing w:before="0" w:after="0"/>
        <w:ind w:firstLine="720"/>
        <w:jc w:val="both"/>
      </w:pPr>
      <w:r>
        <w:rPr>
          <w:rFonts w:ascii="Times New Roman" w:hAnsi="Times New Roman"/>
          <w:b w:val="0"/>
          <w:i w:val="0"/>
          <w:sz w:val="24"/>
          <w:u w:val="none"/>
        </w:rPr>
        <w:t>Zidentyfikowane ograniczenia systemu obejmują: (1) problem bytes_received=0 w trybie przechwytywania per-packet — rozwiązany przez implementację flow-based, docelowo wymagający protokołu NetFlow/IPFIX; (2) feature leakage wynikający z flagi src_toniot_benchmark — akceptowalny w badaniach, nieakceptowalny w produkcji; (3) statyczne mapowanie MITRE ATT&amp;CK — nie uwzględnia dynamicznych łańcuchów ataków wieloetapowych.</w:t>
      </w:r>
    </w:p>
    <w:p>
      <w:pPr>
        <w:spacing w:before="0" w:after="0"/>
        <w:ind w:firstLine="720"/>
        <w:jc w:val="both"/>
      </w:pPr>
      <w:r>
        <w:rPr>
          <w:rFonts w:ascii="Times New Roman" w:hAnsi="Times New Roman"/>
          <w:b w:val="0"/>
          <w:i w:val="0"/>
          <w:sz w:val="24"/>
          <w:u w:val="none"/>
        </w:rPr>
        <w:t>Rekomendacje dla dalszego rozwoju systemu: integracja protokołu NetFlow/IPFIX zamiast przechwytywania pakietów przez tshark jako docelowe źródło cech przepływowych; rozszerzenie zbioru treningowego o dane produkcyjne w celu eliminacji feature leakage; implementacja modelu wieloklasowego z możliwością detekcji łańcuchów ataków; integracja z komercyjnym systemem SIEM przez API. System w obecnej postaci stanowi funkcjonalne, w pełni odtwarzalne środowisko badawcze odpowiednie do dalszych eksperymentów w obszarze bezpieczeństwa IoT.</w:t>
      </w:r>
    </w:p>
    <w:p>
      <w:pPr>
        <w:spacing w:before="240" w:after="240"/>
        <w:jc w:val="center"/>
      </w:pPr>
      <w:r>
        <w:rPr>
          <w:rFonts w:ascii="Times New Roman" w:hAnsi="Times New Roman"/>
          <w:b/>
          <w:i w:val="0"/>
          <w:sz w:val="26"/>
          <w:u w:val="none"/>
        </w:rPr>
        <w:t>BIBLIOGRAFIA</w:t>
      </w:r>
    </w:p>
    <w:p>
      <w:pPr>
        <w:spacing w:before="0" w:after="120"/>
        <w:jc w:val="both"/>
      </w:pPr>
      <w:r>
        <w:rPr>
          <w:rFonts w:ascii="Times New Roman" w:hAnsi="Times New Roman"/>
          <w:b w:val="0"/>
          <w:i w:val="0"/>
          <w:sz w:val="24"/>
          <w:u w:val="none"/>
        </w:rPr>
        <w:t xml:space="preserve">1. Breiman L., </w:t>
      </w:r>
      <w:r>
        <w:rPr>
          <w:rFonts w:ascii="Times New Roman" w:hAnsi="Times New Roman"/>
          <w:b w:val="0"/>
          <w:i/>
          <w:sz w:val="24"/>
          <w:u w:val="none"/>
        </w:rPr>
        <w:t>Random Forests</w:t>
      </w:r>
      <w:r>
        <w:rPr>
          <w:rFonts w:ascii="Times New Roman" w:hAnsi="Times New Roman"/>
          <w:b w:val="0"/>
          <w:i w:val="0"/>
          <w:sz w:val="24"/>
          <w:u w:val="none"/>
        </w:rPr>
        <w:t>, „Machine Learning”, 2001, vol. 45, s. 5–32.</w:t>
      </w:r>
    </w:p>
    <w:p>
      <w:pPr>
        <w:spacing w:before="0" w:after="120"/>
        <w:jc w:val="both"/>
      </w:pPr>
      <w:r>
        <w:rPr>
          <w:rFonts w:ascii="Times New Roman" w:hAnsi="Times New Roman"/>
          <w:b w:val="0"/>
          <w:i w:val="0"/>
          <w:sz w:val="24"/>
          <w:u w:val="none"/>
        </w:rPr>
        <w:t xml:space="preserve">2. Docker Inc., </w:t>
      </w:r>
      <w:r>
        <w:rPr>
          <w:rFonts w:ascii="Times New Roman" w:hAnsi="Times New Roman"/>
          <w:b w:val="0"/>
          <w:i/>
          <w:sz w:val="24"/>
          <w:u w:val="none"/>
        </w:rPr>
        <w:t>Docker Documentation</w:t>
      </w:r>
      <w:r>
        <w:rPr>
          <w:rFonts w:ascii="Times New Roman" w:hAnsi="Times New Roman"/>
          <w:b w:val="0"/>
          <w:i w:val="0"/>
          <w:sz w:val="24"/>
          <w:u w:val="none"/>
        </w:rPr>
        <w:t>, Docker Inc., 2024, https://docs.docker.com/, dostep 01.03.2026 r.</w:t>
      </w:r>
    </w:p>
    <w:p>
      <w:pPr>
        <w:spacing w:before="0" w:after="120"/>
        <w:jc w:val="both"/>
      </w:pPr>
      <w:r>
        <w:rPr>
          <w:rFonts w:ascii="Times New Roman" w:hAnsi="Times New Roman"/>
          <w:b w:val="0"/>
          <w:i w:val="0"/>
          <w:sz w:val="24"/>
          <w:u w:val="none"/>
        </w:rPr>
        <w:t xml:space="preserve">3. Elastic N.V., </w:t>
      </w:r>
      <w:r>
        <w:rPr>
          <w:rFonts w:ascii="Times New Roman" w:hAnsi="Times New Roman"/>
          <w:b w:val="0"/>
          <w:i/>
          <w:sz w:val="24"/>
          <w:u w:val="none"/>
        </w:rPr>
        <w:t>Elastic Stack Documentation 8.x</w:t>
      </w:r>
      <w:r>
        <w:rPr>
          <w:rFonts w:ascii="Times New Roman" w:hAnsi="Times New Roman"/>
          <w:b w:val="0"/>
          <w:i w:val="0"/>
          <w:sz w:val="24"/>
          <w:u w:val="none"/>
        </w:rPr>
        <w:t>, Elastic N.V., 2024, https://www.elastic.co/guide/, dostep 01.03.2026 r.</w:t>
      </w:r>
    </w:p>
    <w:p>
      <w:pPr>
        <w:spacing w:before="0" w:after="120"/>
        <w:jc w:val="both"/>
      </w:pPr>
      <w:r>
        <w:rPr>
          <w:rFonts w:ascii="Times New Roman" w:hAnsi="Times New Roman"/>
          <w:b w:val="0"/>
          <w:i w:val="0"/>
          <w:sz w:val="24"/>
          <w:u w:val="none"/>
        </w:rPr>
        <w:t xml:space="preserve">4. Koroniotis N., Moustafa N., Sitnikova E., Turnbull B., </w:t>
      </w:r>
      <w:r>
        <w:rPr>
          <w:rFonts w:ascii="Times New Roman" w:hAnsi="Times New Roman"/>
          <w:b w:val="0"/>
          <w:i/>
          <w:sz w:val="24"/>
          <w:u w:val="none"/>
        </w:rPr>
        <w:t>Towards the Development of Realistic Botnet Dataset in the Internet of Things for Network Forensic Analytics</w:t>
      </w:r>
      <w:r>
        <w:rPr>
          <w:rFonts w:ascii="Times New Roman" w:hAnsi="Times New Roman"/>
          <w:b w:val="0"/>
          <w:i w:val="0"/>
          <w:sz w:val="24"/>
          <w:u w:val="none"/>
        </w:rPr>
        <w:t>, „Future Generation Computer Systems”, 2019, vol. 100, s. 779–796.</w:t>
      </w:r>
    </w:p>
    <w:p>
      <w:pPr>
        <w:spacing w:before="0" w:after="120"/>
        <w:jc w:val="both"/>
      </w:pPr>
      <w:r>
        <w:rPr>
          <w:rFonts w:ascii="Times New Roman" w:hAnsi="Times New Roman"/>
          <w:b w:val="0"/>
          <w:i w:val="0"/>
          <w:sz w:val="24"/>
          <w:u w:val="none"/>
        </w:rPr>
        <w:t xml:space="preserve">5. MITRE Corporation, </w:t>
      </w:r>
      <w:r>
        <w:rPr>
          <w:rFonts w:ascii="Times New Roman" w:hAnsi="Times New Roman"/>
          <w:b w:val="0"/>
          <w:i/>
          <w:sz w:val="24"/>
          <w:u w:val="none"/>
        </w:rPr>
        <w:t>MITRE ATT&amp;CK: Design and Philosophy</w:t>
      </w:r>
      <w:r>
        <w:rPr>
          <w:rFonts w:ascii="Times New Roman" w:hAnsi="Times New Roman"/>
          <w:b w:val="0"/>
          <w:i w:val="0"/>
          <w:sz w:val="24"/>
          <w:u w:val="none"/>
        </w:rPr>
        <w:t>, MITRE Corporation, 2020, https://attack.mitre.org/, dostep 01.03.2026 r.</w:t>
      </w:r>
    </w:p>
    <w:p>
      <w:pPr>
        <w:spacing w:before="0" w:after="120"/>
        <w:jc w:val="both"/>
      </w:pPr>
      <w:r>
        <w:rPr>
          <w:rFonts w:ascii="Times New Roman" w:hAnsi="Times New Roman"/>
          <w:b w:val="0"/>
          <w:i w:val="0"/>
          <w:sz w:val="24"/>
          <w:u w:val="none"/>
        </w:rPr>
        <w:t xml:space="preserve">6. Moustafa N., Slay J., </w:t>
      </w:r>
      <w:r>
        <w:rPr>
          <w:rFonts w:ascii="Times New Roman" w:hAnsi="Times New Roman"/>
          <w:b w:val="0"/>
          <w:i/>
          <w:sz w:val="24"/>
          <w:u w:val="none"/>
        </w:rPr>
        <w:t>UNSW-NB15: A Comprehensive Data Set for Network Intrusion Detection Systems</w:t>
      </w:r>
      <w:r>
        <w:rPr>
          <w:rFonts w:ascii="Times New Roman" w:hAnsi="Times New Roman"/>
          <w:b w:val="0"/>
          <w:i w:val="0"/>
          <w:sz w:val="24"/>
          <w:u w:val="none"/>
        </w:rPr>
        <w:t>, Military Communications and Information Systems Conference (MilCIS), IEEE, Canberra 2015, s. 1–6.</w:t>
      </w:r>
    </w:p>
    <w:p>
      <w:pPr>
        <w:spacing w:before="0" w:after="120"/>
        <w:jc w:val="both"/>
      </w:pPr>
      <w:r>
        <w:rPr>
          <w:rFonts w:ascii="Times New Roman" w:hAnsi="Times New Roman"/>
          <w:b w:val="0"/>
          <w:i w:val="0"/>
          <w:sz w:val="24"/>
          <w:u w:val="none"/>
        </w:rPr>
        <w:t xml:space="preserve">7. Pedregosa F. i in., </w:t>
      </w:r>
      <w:r>
        <w:rPr>
          <w:rFonts w:ascii="Times New Roman" w:hAnsi="Times New Roman"/>
          <w:b w:val="0"/>
          <w:i/>
          <w:sz w:val="24"/>
          <w:u w:val="none"/>
        </w:rPr>
        <w:t>Scikit-learn: Machine Learning in Python</w:t>
      </w:r>
      <w:r>
        <w:rPr>
          <w:rFonts w:ascii="Times New Roman" w:hAnsi="Times New Roman"/>
          <w:b w:val="0"/>
          <w:i w:val="0"/>
          <w:sz w:val="24"/>
          <w:u w:val="none"/>
        </w:rPr>
        <w:t>, „Journal of Machine Learning Research”, 2011, vol. 12, s. 2825–2830.</w:t>
      </w:r>
    </w:p>
    <w:p>
      <w:pPr>
        <w:spacing w:before="0" w:after="0"/>
        <w:jc w:val="both"/>
      </w:pPr>
      <w:r>
        <w:rPr>
          <w:rFonts w:ascii="Times New Roman" w:hAnsi="Times New Roman"/>
          <w:b w:val="0"/>
          <w:i w:val="0"/>
          <w:sz w:val="24"/>
          <w:u w:val="none"/>
        </w:rPr>
        <w:t xml:space="preserve">8. Wireshark Foundation, </w:t>
      </w:r>
      <w:r>
        <w:rPr>
          <w:rFonts w:ascii="Times New Roman" w:hAnsi="Times New Roman"/>
          <w:b w:val="0"/>
          <w:i/>
          <w:sz w:val="24"/>
          <w:u w:val="none"/>
        </w:rPr>
        <w:t>TShark — Terminal-based Wireshark</w:t>
      </w:r>
      <w:r>
        <w:rPr>
          <w:rFonts w:ascii="Times New Roman" w:hAnsi="Times New Roman"/>
          <w:b w:val="0"/>
          <w:i w:val="0"/>
          <w:sz w:val="24"/>
          <w:u w:val="none"/>
        </w:rPr>
        <w:t>, Wireshark Foundation, 2024, https://www.wireshark.org/docs/man-pages/tshark.html, dostep 01.03.2026 r.</w:t>
      </w:r>
    </w:p>
    <w:p>
      <w:pPr>
        <w:spacing w:before="600" w:after="600"/>
        <w:jc w:val="center"/>
      </w:pPr>
      <w:r>
        <w:rPr>
          <w:rFonts w:ascii="Times New Roman" w:hAnsi="Times New Roman"/>
          <w:b/>
          <w:i w:val="0"/>
          <w:sz w:val="28"/>
          <w:u w:val="none"/>
          <w:spacing w:val="40"/>
        </w:rPr>
        <w:t>IOT NETWORK MONITORING SYSTEM WITH ML-BASED ATTACK CLASSIFICATION AND MITRE ATT&amp;CK FRAMEWORK MAPPING</w:t>
      </w:r>
    </w:p>
    <w:p>
      <w:pPr>
        <w:spacing w:before="480" w:after="240"/>
        <w:jc w:val="center"/>
      </w:pPr>
      <w:r>
        <w:rPr>
          <w:rFonts w:ascii="Times New Roman" w:hAnsi="Times New Roman"/>
          <w:b/>
          <w:i w:val="0"/>
          <w:sz w:val="26"/>
          <w:u w:val="none"/>
        </w:rPr>
        <w:t>ABSTRACT</w:t>
      </w:r>
    </w:p>
    <w:p>
      <w:pPr>
        <w:spacing w:before="0" w:after="0"/>
        <w:ind w:firstLine="720"/>
        <w:jc w:val="both"/>
      </w:pPr>
      <w:r>
        <w:rPr>
          <w:rFonts w:ascii="Times New Roman" w:hAnsi="Times New Roman"/>
          <w:b w:val="0"/>
          <w:i w:val="0"/>
          <w:sz w:val="24"/>
          <w:u w:val="none"/>
        </w:rPr>
        <w:t>This paper presents IoT Security Radar — a local IoT network monitoring system with real-time attack detection and classification. The system integrates the Elastic Stack (Filebeat, Logstash, Elasticsearch, Kibana) with a machine learning module based on the Random Forest algorithm, achieving 97% classification accuracy across nine attack classes. A dual-index architecture separates raw events (with ground-truth labels) from ML predictions, enabling independent evaluation of model performance and ground-truth data quality. Each detected attack is mapped to MITRE ATT&amp;CK tactics and techniques, providing SOC operators with operational context for alert prioritization. The system was validated on 55,280 indexed events from three sources: the NF-ToN-IoT-v2 benchmark dataset, simulated attacks, and live WiFi traffic captured via tshark. The entire stack is containerized with Docker Compose and secured with mutual TLS authentication.</w:t>
      </w:r>
    </w:p>
    <w:sectPr w:rsidR="00FC693F" w:rsidRPr="0006063C" w:rsidSect="00034616">
      <w:pgSz w:w="11906" w:h="16838"/>
      <w:pgMar w:top="1417" w:right="1417" w:bottom="1417" w:left="1417" w:header="720" w:footer="720" w:gutter="283" w:mirrorMargins="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