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456-231-255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pop@wo.pl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112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2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20:53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20:53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werwr 23-785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werwr 23-785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456,00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20:53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werwr 23-785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20:53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Katowice werwr 23-785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