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 pot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345-785-666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3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13:10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2024-05-23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13:10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gljkdg 34-555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gljkdg 34-555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44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13:10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gljkdg 34-555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2024-05-23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13:10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Katowice gljkdg 34-555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