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73C2">
      <w:pPr>
        <w:rPr>
          <w:rFonts w:hint="eastAsia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371pt;margin-top:242.95pt;width:66.25pt;height:32.3pt;z-index:251660288;mso-width-relative:margin;mso-height-relative:margin">
            <v:textbox>
              <w:txbxContent>
                <w:p w:rsidR="003C73C2" w:rsidRPr="003C73C2" w:rsidRDefault="003C73C2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X</w:t>
                  </w:r>
                  <w:r w:rsidRPr="003C73C2">
                    <w:rPr>
                      <w:rFonts w:hint="eastAsia"/>
                      <w:b/>
                      <w:sz w:val="36"/>
                      <w:szCs w:val="36"/>
                    </w:rPr>
                    <w:t>/mm</w:t>
                  </w:r>
                </w:p>
              </w:txbxContent>
            </v:textbox>
          </v:shape>
        </w:pict>
      </w:r>
      <w:r w:rsidR="005C4779">
        <w:rPr>
          <w:noProof/>
        </w:rPr>
        <w:drawing>
          <wp:inline distT="0" distB="0" distL="0" distR="0">
            <wp:extent cx="5457825" cy="3648075"/>
            <wp:effectExtent l="19050" t="0" r="9525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C73C2" w:rsidRDefault="003C73C2"/>
    <w:sectPr w:rsidR="003C73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0035" w:rsidRDefault="00010035" w:rsidP="005C4779">
      <w:r>
        <w:separator/>
      </w:r>
    </w:p>
  </w:endnote>
  <w:endnote w:type="continuationSeparator" w:id="1">
    <w:p w:rsidR="00010035" w:rsidRDefault="00010035" w:rsidP="005C47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0035" w:rsidRDefault="00010035" w:rsidP="005C4779">
      <w:r>
        <w:separator/>
      </w:r>
    </w:p>
  </w:footnote>
  <w:footnote w:type="continuationSeparator" w:id="1">
    <w:p w:rsidR="00010035" w:rsidRDefault="00010035" w:rsidP="005C477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4779"/>
    <w:rsid w:val="00010035"/>
    <w:rsid w:val="00161DE4"/>
    <w:rsid w:val="003C73C2"/>
    <w:rsid w:val="005C4779"/>
    <w:rsid w:val="00683CF1"/>
    <w:rsid w:val="00970B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47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477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4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477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C477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C477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zh-CN"/>
              <a:t>U/V</a:t>
            </a:r>
            <a:endParaRPr lang="zh-CN" altLang="en-US"/>
          </a:p>
        </c:rich>
      </c:tx>
      <c:layout>
        <c:manualLayout>
          <c:xMode val="edge"/>
          <c:yMode val="edge"/>
          <c:x val="1.4218542330655544E-2"/>
          <c:y val="4.4568245125348238E-2"/>
        </c:manualLayout>
      </c:layout>
    </c:title>
    <c:plotArea>
      <c:layout>
        <c:manualLayout>
          <c:layoutTarget val="inner"/>
          <c:xMode val="edge"/>
          <c:yMode val="edge"/>
          <c:x val="7.6980560356784689E-2"/>
          <c:y val="0.14704120734908138"/>
          <c:w val="0.75153171553214571"/>
          <c:h val="0.70047139107611545"/>
        </c:manualLayout>
      </c:layout>
      <c:scatterChart>
        <c:scatterStyle val="smoothMarker"/>
        <c:ser>
          <c:idx val="2"/>
          <c:order val="2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0.75000000000000011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  <c:pt idx="17">
                  <c:v>4.25</c:v>
                </c:pt>
                <c:pt idx="18">
                  <c:v>4.5</c:v>
                </c:pt>
                <c:pt idx="19">
                  <c:v>4.75</c:v>
                </c:pt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-1.0000000000000002E-2</c:v>
                </c:pt>
                <c:pt idx="1">
                  <c:v>-1.3</c:v>
                </c:pt>
                <c:pt idx="2">
                  <c:v>-1.83</c:v>
                </c:pt>
                <c:pt idx="3">
                  <c:v>-2.1</c:v>
                </c:pt>
                <c:pt idx="4">
                  <c:v>-2.54</c:v>
                </c:pt>
                <c:pt idx="5">
                  <c:v>-2.9499999999999997</c:v>
                </c:pt>
                <c:pt idx="6">
                  <c:v>-3.3299999999999996</c:v>
                </c:pt>
                <c:pt idx="7">
                  <c:v>-3.68</c:v>
                </c:pt>
                <c:pt idx="8">
                  <c:v>-4.01</c:v>
                </c:pt>
                <c:pt idx="9">
                  <c:v>-4.33</c:v>
                </c:pt>
                <c:pt idx="10">
                  <c:v>-4.6099999999999994</c:v>
                </c:pt>
                <c:pt idx="11">
                  <c:v>-4.8899999999999997</c:v>
                </c:pt>
                <c:pt idx="12">
                  <c:v>-5.13</c:v>
                </c:pt>
                <c:pt idx="13">
                  <c:v>-5.37</c:v>
                </c:pt>
                <c:pt idx="14">
                  <c:v>-5.58</c:v>
                </c:pt>
                <c:pt idx="15">
                  <c:v>-5.7700000000000005</c:v>
                </c:pt>
                <c:pt idx="16">
                  <c:v>-5.94</c:v>
                </c:pt>
                <c:pt idx="17">
                  <c:v>-6.1</c:v>
                </c:pt>
                <c:pt idx="18">
                  <c:v>-6.25</c:v>
                </c:pt>
                <c:pt idx="19">
                  <c:v>-6.39</c:v>
                </c:pt>
              </c:numCache>
            </c:numRef>
          </c:yVal>
          <c:smooth val="1"/>
        </c:ser>
        <c:ser>
          <c:idx val="3"/>
          <c:order val="3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0.75000000000000011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  <c:pt idx="17">
                  <c:v>4.25</c:v>
                </c:pt>
                <c:pt idx="18">
                  <c:v>4.5</c:v>
                </c:pt>
                <c:pt idx="19">
                  <c:v>4.75</c:v>
                </c:pt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-1.0000000000000002E-2</c:v>
                </c:pt>
                <c:pt idx="1">
                  <c:v>-1.3</c:v>
                </c:pt>
                <c:pt idx="2">
                  <c:v>-1.83</c:v>
                </c:pt>
                <c:pt idx="3">
                  <c:v>-2.1</c:v>
                </c:pt>
                <c:pt idx="4">
                  <c:v>-2.54</c:v>
                </c:pt>
                <c:pt idx="5">
                  <c:v>-2.9499999999999997</c:v>
                </c:pt>
                <c:pt idx="6">
                  <c:v>-3.3299999999999996</c:v>
                </c:pt>
                <c:pt idx="7">
                  <c:v>-3.68</c:v>
                </c:pt>
                <c:pt idx="8">
                  <c:v>-4.01</c:v>
                </c:pt>
                <c:pt idx="9">
                  <c:v>-4.33</c:v>
                </c:pt>
                <c:pt idx="10">
                  <c:v>-4.6099999999999994</c:v>
                </c:pt>
                <c:pt idx="11">
                  <c:v>-4.8899999999999997</c:v>
                </c:pt>
                <c:pt idx="12">
                  <c:v>-5.13</c:v>
                </c:pt>
                <c:pt idx="13">
                  <c:v>-5.37</c:v>
                </c:pt>
                <c:pt idx="14">
                  <c:v>-5.58</c:v>
                </c:pt>
                <c:pt idx="15">
                  <c:v>-5.7700000000000005</c:v>
                </c:pt>
                <c:pt idx="16">
                  <c:v>-5.94</c:v>
                </c:pt>
                <c:pt idx="17">
                  <c:v>-6.1</c:v>
                </c:pt>
                <c:pt idx="18">
                  <c:v>-6.25</c:v>
                </c:pt>
                <c:pt idx="19">
                  <c:v>-6.39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0.75000000000000011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  <c:pt idx="17">
                  <c:v>4.25</c:v>
                </c:pt>
                <c:pt idx="18">
                  <c:v>4.5</c:v>
                </c:pt>
                <c:pt idx="19">
                  <c:v>4.75</c:v>
                </c:pt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-1.0000000000000002E-2</c:v>
                </c:pt>
                <c:pt idx="1">
                  <c:v>-1.3</c:v>
                </c:pt>
                <c:pt idx="2">
                  <c:v>-1.83</c:v>
                </c:pt>
                <c:pt idx="3">
                  <c:v>-2.1</c:v>
                </c:pt>
                <c:pt idx="4">
                  <c:v>-2.54</c:v>
                </c:pt>
                <c:pt idx="5">
                  <c:v>-2.9499999999999997</c:v>
                </c:pt>
                <c:pt idx="6">
                  <c:v>-3.3299999999999996</c:v>
                </c:pt>
                <c:pt idx="7">
                  <c:v>-3.68</c:v>
                </c:pt>
                <c:pt idx="8">
                  <c:v>-4.01</c:v>
                </c:pt>
                <c:pt idx="9">
                  <c:v>-4.33</c:v>
                </c:pt>
                <c:pt idx="10">
                  <c:v>-4.6099999999999994</c:v>
                </c:pt>
                <c:pt idx="11">
                  <c:v>-4.8899999999999997</c:v>
                </c:pt>
                <c:pt idx="12">
                  <c:v>-5.13</c:v>
                </c:pt>
                <c:pt idx="13">
                  <c:v>-5.37</c:v>
                </c:pt>
                <c:pt idx="14">
                  <c:v>-5.58</c:v>
                </c:pt>
                <c:pt idx="15">
                  <c:v>-5.7700000000000005</c:v>
                </c:pt>
                <c:pt idx="16">
                  <c:v>-5.94</c:v>
                </c:pt>
                <c:pt idx="17">
                  <c:v>-6.1</c:v>
                </c:pt>
                <c:pt idx="18">
                  <c:v>-6.25</c:v>
                </c:pt>
                <c:pt idx="19">
                  <c:v>-6.39</c:v>
                </c:pt>
              </c:numCache>
            </c:numRef>
          </c:yVal>
          <c:smooth val="1"/>
        </c:ser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0.75000000000000011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  <c:pt idx="17">
                  <c:v>4.25</c:v>
                </c:pt>
                <c:pt idx="18">
                  <c:v>4.5</c:v>
                </c:pt>
                <c:pt idx="19">
                  <c:v>4.75</c:v>
                </c:pt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-1.0000000000000002E-2</c:v>
                </c:pt>
                <c:pt idx="1">
                  <c:v>-1.3</c:v>
                </c:pt>
                <c:pt idx="2">
                  <c:v>-1.83</c:v>
                </c:pt>
                <c:pt idx="3">
                  <c:v>-2.1</c:v>
                </c:pt>
                <c:pt idx="4">
                  <c:v>-2.54</c:v>
                </c:pt>
                <c:pt idx="5">
                  <c:v>-2.9499999999999997</c:v>
                </c:pt>
                <c:pt idx="6">
                  <c:v>-3.3299999999999996</c:v>
                </c:pt>
                <c:pt idx="7">
                  <c:v>-3.68</c:v>
                </c:pt>
                <c:pt idx="8">
                  <c:v>-4.01</c:v>
                </c:pt>
                <c:pt idx="9">
                  <c:v>-4.33</c:v>
                </c:pt>
                <c:pt idx="10">
                  <c:v>-4.6099999999999994</c:v>
                </c:pt>
                <c:pt idx="11">
                  <c:v>-4.8899999999999997</c:v>
                </c:pt>
                <c:pt idx="12">
                  <c:v>-5.13</c:v>
                </c:pt>
                <c:pt idx="13">
                  <c:v>-5.37</c:v>
                </c:pt>
                <c:pt idx="14">
                  <c:v>-5.58</c:v>
                </c:pt>
                <c:pt idx="15">
                  <c:v>-5.7700000000000005</c:v>
                </c:pt>
                <c:pt idx="16">
                  <c:v>-5.94</c:v>
                </c:pt>
                <c:pt idx="17">
                  <c:v>-6.1</c:v>
                </c:pt>
                <c:pt idx="18">
                  <c:v>-6.25</c:v>
                </c:pt>
                <c:pt idx="19">
                  <c:v>-6.39</c:v>
                </c:pt>
              </c:numCache>
            </c:numRef>
          </c:yVal>
          <c:smooth val="1"/>
        </c:ser>
        <c:axId val="89069824"/>
        <c:axId val="89182208"/>
      </c:scatterChart>
      <c:valAx>
        <c:axId val="89069824"/>
        <c:scaling>
          <c:orientation val="minMax"/>
        </c:scaling>
        <c:axPos val="t"/>
        <c:numFmt formatCode="General" sourceLinked="1"/>
        <c:majorTickMark val="in"/>
        <c:minorTickMark val="in"/>
        <c:tickLblPos val="high"/>
        <c:spPr>
          <a:ln>
            <a:headEnd type="none"/>
            <a:tailEnd type="triangle"/>
          </a:ln>
        </c:spPr>
        <c:crossAx val="89182208"/>
        <c:crosses val="autoZero"/>
        <c:crossBetween val="midCat"/>
      </c:valAx>
      <c:valAx>
        <c:axId val="89182208"/>
        <c:scaling>
          <c:orientation val="maxMin"/>
        </c:scaling>
        <c:axPos val="l"/>
        <c:majorGridlines/>
        <c:numFmt formatCode="General" sourceLinked="1"/>
        <c:majorTickMark val="cross"/>
        <c:tickLblPos val="nextTo"/>
        <c:spPr>
          <a:ln>
            <a:headEnd type="triangle"/>
            <a:tailEnd type="none"/>
          </a:ln>
        </c:spPr>
        <c:crossAx val="89069824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3</Characters>
  <Application>Microsoft Office Word</Application>
  <DocSecurity>0</DocSecurity>
  <Lines>1</Lines>
  <Paragraphs>1</Paragraphs>
  <ScaleCrop>false</ScaleCrop>
  <Company>Hewlett-Packard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2</cp:revision>
  <dcterms:created xsi:type="dcterms:W3CDTF">2009-03-24T11:32:00Z</dcterms:created>
  <dcterms:modified xsi:type="dcterms:W3CDTF">2009-03-24T12:42:00Z</dcterms:modified>
</cp:coreProperties>
</file>