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rawings/drawing1.xml" ContentType="application/vnd.openxmlformats-officedocument.drawingml.chartshapes+xml"/>
  <Override PartName="/word/charts/chart6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theme/theme1.xml" ContentType="application/vnd.openxmlformats-officedocument.theme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56FAB">
      <w:pPr>
        <w:rPr>
          <w:rFonts w:hint="eastAsia"/>
        </w:rPr>
      </w:pPr>
      <w:r w:rsidRPr="00A56FAB">
        <w:drawing>
          <wp:inline distT="0" distB="0" distL="0" distR="0">
            <wp:extent cx="5274945" cy="3848100"/>
            <wp:effectExtent l="19050" t="0" r="20955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A56FAB" w:rsidRDefault="00A56FAB">
      <w:pPr>
        <w:rPr>
          <w:rFonts w:hint="eastAsia"/>
        </w:rPr>
      </w:pPr>
    </w:p>
    <w:p w:rsidR="00A56FAB" w:rsidRDefault="00A56FAB">
      <w:pPr>
        <w:rPr>
          <w:rFonts w:hint="eastAsia"/>
        </w:rPr>
      </w:pPr>
      <w:r w:rsidRPr="00A56FAB">
        <w:drawing>
          <wp:inline distT="0" distB="0" distL="0" distR="0">
            <wp:extent cx="5274945" cy="3266314"/>
            <wp:effectExtent l="19050" t="0" r="20955" b="0"/>
            <wp:docPr id="2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A56FAB" w:rsidRDefault="00782189">
      <w:pPr>
        <w:rPr>
          <w:rFonts w:hint="eastAsia"/>
        </w:rPr>
      </w:pPr>
      <w:r w:rsidRPr="00782189">
        <w:lastRenderedPageBreak/>
        <w:drawing>
          <wp:inline distT="0" distB="0" distL="0" distR="0">
            <wp:extent cx="5274945" cy="3171072"/>
            <wp:effectExtent l="19050" t="0" r="20955" b="0"/>
            <wp:docPr id="5" name="图表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782189" w:rsidRDefault="00782189">
      <w:pPr>
        <w:rPr>
          <w:rFonts w:hint="eastAsia"/>
        </w:rPr>
      </w:pPr>
    </w:p>
    <w:p w:rsidR="00782189" w:rsidRDefault="00782189">
      <w:pPr>
        <w:rPr>
          <w:rFonts w:hint="eastAsia"/>
        </w:rPr>
      </w:pPr>
    </w:p>
    <w:p w:rsidR="00A56FAB" w:rsidRDefault="005F7128">
      <w:pPr>
        <w:rPr>
          <w:rFonts w:hint="eastAsia"/>
        </w:rPr>
      </w:pPr>
      <w:r w:rsidRPr="005F7128">
        <w:drawing>
          <wp:inline distT="0" distB="0" distL="0" distR="0">
            <wp:extent cx="5274945" cy="3731535"/>
            <wp:effectExtent l="19050" t="0" r="20955" b="2265"/>
            <wp:docPr id="3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5F7128" w:rsidRDefault="00782189">
      <w:pPr>
        <w:rPr>
          <w:rFonts w:hint="eastAsia"/>
        </w:rPr>
      </w:pPr>
      <w:r w:rsidRPr="00782189">
        <w:lastRenderedPageBreak/>
        <w:drawing>
          <wp:inline distT="0" distB="0" distL="0" distR="0">
            <wp:extent cx="5274945" cy="3153978"/>
            <wp:effectExtent l="19050" t="0" r="20955" b="8322"/>
            <wp:docPr id="6" name="图表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782189" w:rsidRDefault="00782189">
      <w:pPr>
        <w:rPr>
          <w:rFonts w:hint="eastAsia"/>
        </w:rPr>
      </w:pPr>
    </w:p>
    <w:p w:rsidR="005F7128" w:rsidRDefault="005F7128">
      <w:r w:rsidRPr="005F7128">
        <w:drawing>
          <wp:inline distT="0" distB="0" distL="0" distR="0">
            <wp:extent cx="5274945" cy="3290125"/>
            <wp:effectExtent l="19050" t="0" r="20955" b="5525"/>
            <wp:docPr id="4" name="图表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sectPr w:rsidR="005F7128" w:rsidSect="00A56FAB">
      <w:pgSz w:w="11907" w:h="16839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72146" w:rsidRDefault="00972146" w:rsidP="00A56FAB">
      <w:r>
        <w:separator/>
      </w:r>
    </w:p>
  </w:endnote>
  <w:endnote w:type="continuationSeparator" w:id="1">
    <w:p w:rsidR="00972146" w:rsidRDefault="00972146" w:rsidP="00A56FA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72146" w:rsidRDefault="00972146" w:rsidP="00A56FAB">
      <w:r>
        <w:separator/>
      </w:r>
    </w:p>
  </w:footnote>
  <w:footnote w:type="continuationSeparator" w:id="1">
    <w:p w:rsidR="00972146" w:rsidRDefault="00972146" w:rsidP="00A56FA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56FAB"/>
    <w:rsid w:val="000B459F"/>
    <w:rsid w:val="005F7128"/>
    <w:rsid w:val="00782189"/>
    <w:rsid w:val="00972146"/>
    <w:rsid w:val="00A56F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56F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56FA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56F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56FAB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56FA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A56FA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chart" Target="charts/chart6.xml"/><Relationship Id="rId5" Type="http://schemas.openxmlformats.org/officeDocument/2006/relationships/endnotes" Target="endnotes.xml"/><Relationship Id="rId10" Type="http://schemas.openxmlformats.org/officeDocument/2006/relationships/chart" Target="charts/chart5.xml"/><Relationship Id="rId4" Type="http://schemas.openxmlformats.org/officeDocument/2006/relationships/footnotes" Target="footnotes.xml"/><Relationship Id="rId9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oleObject" Target="file:///C:\Users\&#23567;&#39134;\Desktop\&#39640;&#28201;&#36229;&#23548;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&#23567;&#39134;\Desktop\&#39640;&#28201;&#36229;&#23548;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&#23567;&#39134;\Desktop\&#39640;&#28201;&#36229;&#23548;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&#23567;&#39134;\Desktop\&#39640;&#28201;&#36229;&#23548;.xlsx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&#23567;&#39134;\Desktop\&#39640;&#28201;&#36229;&#23548;.xlsx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&#23567;&#39134;\Desktop\&#39640;&#28201;&#36229;&#23548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plotArea>
      <c:layout>
        <c:manualLayout>
          <c:layoutTarget val="inner"/>
          <c:xMode val="edge"/>
          <c:yMode val="edge"/>
          <c:x val="0.13741777327339041"/>
          <c:y val="7.6299691026111185E-2"/>
          <c:w val="0.73955295249992337"/>
          <c:h val="0.76302706371799611"/>
        </c:manualLayout>
      </c:layout>
      <c:scatterChart>
        <c:scatterStyle val="smoothMarker"/>
        <c:ser>
          <c:idx val="4"/>
          <c:order val="0"/>
          <c:xVal>
            <c:numRef>
              <c:f>Sheet1!$E$2:$E$56</c:f>
              <c:numCache>
                <c:formatCode>General</c:formatCode>
                <c:ptCount val="55"/>
                <c:pt idx="0">
                  <c:v>5.2</c:v>
                </c:pt>
                <c:pt idx="1">
                  <c:v>0</c:v>
                </c:pt>
                <c:pt idx="2">
                  <c:v>-10</c:v>
                </c:pt>
                <c:pt idx="3">
                  <c:v>-20.5</c:v>
                </c:pt>
                <c:pt idx="4">
                  <c:v>-30.6</c:v>
                </c:pt>
                <c:pt idx="5">
                  <c:v>-40.6</c:v>
                </c:pt>
                <c:pt idx="6">
                  <c:v>-50.8</c:v>
                </c:pt>
                <c:pt idx="7">
                  <c:v>-60.8</c:v>
                </c:pt>
                <c:pt idx="8">
                  <c:v>-70.8</c:v>
                </c:pt>
                <c:pt idx="9">
                  <c:v>-80.8</c:v>
                </c:pt>
                <c:pt idx="10">
                  <c:v>-90.8</c:v>
                </c:pt>
                <c:pt idx="11">
                  <c:v>-99.5</c:v>
                </c:pt>
                <c:pt idx="12">
                  <c:v>-110.5</c:v>
                </c:pt>
                <c:pt idx="13">
                  <c:v>-120.4</c:v>
                </c:pt>
                <c:pt idx="14">
                  <c:v>-130</c:v>
                </c:pt>
                <c:pt idx="15">
                  <c:v>-139.5</c:v>
                </c:pt>
                <c:pt idx="16">
                  <c:v>-142</c:v>
                </c:pt>
                <c:pt idx="17">
                  <c:v>-144.5</c:v>
                </c:pt>
                <c:pt idx="18">
                  <c:v>-147</c:v>
                </c:pt>
                <c:pt idx="19">
                  <c:v>-149.30000000000001</c:v>
                </c:pt>
                <c:pt idx="20">
                  <c:v>-151.80000000000001</c:v>
                </c:pt>
                <c:pt idx="21">
                  <c:v>-154</c:v>
                </c:pt>
                <c:pt idx="22">
                  <c:v>-156.5</c:v>
                </c:pt>
                <c:pt idx="23">
                  <c:v>-159</c:v>
                </c:pt>
                <c:pt idx="24">
                  <c:v>-161.30000000000001</c:v>
                </c:pt>
                <c:pt idx="25">
                  <c:v>-163</c:v>
                </c:pt>
                <c:pt idx="26">
                  <c:v>-163.5</c:v>
                </c:pt>
                <c:pt idx="27">
                  <c:v>-164</c:v>
                </c:pt>
                <c:pt idx="28">
                  <c:v>-164.5</c:v>
                </c:pt>
                <c:pt idx="29">
                  <c:v>-165</c:v>
                </c:pt>
                <c:pt idx="30">
                  <c:v>-165.5</c:v>
                </c:pt>
                <c:pt idx="31">
                  <c:v>-166</c:v>
                </c:pt>
                <c:pt idx="32">
                  <c:v>-166.5</c:v>
                </c:pt>
                <c:pt idx="33">
                  <c:v>-167</c:v>
                </c:pt>
                <c:pt idx="34">
                  <c:v>-167.5</c:v>
                </c:pt>
                <c:pt idx="35">
                  <c:v>-168</c:v>
                </c:pt>
                <c:pt idx="36">
                  <c:v>-168.5</c:v>
                </c:pt>
                <c:pt idx="37">
                  <c:v>-169</c:v>
                </c:pt>
                <c:pt idx="38">
                  <c:v>-169.4</c:v>
                </c:pt>
                <c:pt idx="39">
                  <c:v>-169.9</c:v>
                </c:pt>
                <c:pt idx="40">
                  <c:v>-170.3</c:v>
                </c:pt>
                <c:pt idx="41">
                  <c:v>-170.8</c:v>
                </c:pt>
                <c:pt idx="42">
                  <c:v>-171.3</c:v>
                </c:pt>
                <c:pt idx="43">
                  <c:v>-171.8</c:v>
                </c:pt>
                <c:pt idx="44">
                  <c:v>-172.2</c:v>
                </c:pt>
                <c:pt idx="45">
                  <c:v>-172.6</c:v>
                </c:pt>
                <c:pt idx="46">
                  <c:v>-173</c:v>
                </c:pt>
                <c:pt idx="47">
                  <c:v>-173.5</c:v>
                </c:pt>
                <c:pt idx="48">
                  <c:v>-174</c:v>
                </c:pt>
                <c:pt idx="49">
                  <c:v>-174.5</c:v>
                </c:pt>
                <c:pt idx="50">
                  <c:v>-175</c:v>
                </c:pt>
                <c:pt idx="51">
                  <c:v>-175.5</c:v>
                </c:pt>
                <c:pt idx="52">
                  <c:v>-176</c:v>
                </c:pt>
                <c:pt idx="53">
                  <c:v>-176.2</c:v>
                </c:pt>
                <c:pt idx="54">
                  <c:v>-176.5</c:v>
                </c:pt>
              </c:numCache>
            </c:numRef>
          </c:xVal>
          <c:yVal>
            <c:numRef>
              <c:f>Sheet1!$B$2:$B$56</c:f>
              <c:numCache>
                <c:formatCode>General</c:formatCode>
                <c:ptCount val="55"/>
                <c:pt idx="0">
                  <c:v>102</c:v>
                </c:pt>
                <c:pt idx="1">
                  <c:v>100</c:v>
                </c:pt>
                <c:pt idx="2">
                  <c:v>96</c:v>
                </c:pt>
                <c:pt idx="3">
                  <c:v>92</c:v>
                </c:pt>
                <c:pt idx="4">
                  <c:v>88</c:v>
                </c:pt>
                <c:pt idx="5">
                  <c:v>84</c:v>
                </c:pt>
                <c:pt idx="6">
                  <c:v>80</c:v>
                </c:pt>
                <c:pt idx="7">
                  <c:v>76</c:v>
                </c:pt>
                <c:pt idx="8">
                  <c:v>72</c:v>
                </c:pt>
                <c:pt idx="9">
                  <c:v>68</c:v>
                </c:pt>
                <c:pt idx="10">
                  <c:v>64</c:v>
                </c:pt>
                <c:pt idx="11">
                  <c:v>60.4</c:v>
                </c:pt>
                <c:pt idx="12">
                  <c:v>56</c:v>
                </c:pt>
                <c:pt idx="13">
                  <c:v>52</c:v>
                </c:pt>
                <c:pt idx="14">
                  <c:v>48</c:v>
                </c:pt>
                <c:pt idx="15">
                  <c:v>44</c:v>
                </c:pt>
                <c:pt idx="16">
                  <c:v>43</c:v>
                </c:pt>
                <c:pt idx="17">
                  <c:v>42</c:v>
                </c:pt>
                <c:pt idx="18">
                  <c:v>41</c:v>
                </c:pt>
                <c:pt idx="19">
                  <c:v>40</c:v>
                </c:pt>
                <c:pt idx="20">
                  <c:v>39</c:v>
                </c:pt>
                <c:pt idx="21">
                  <c:v>38</c:v>
                </c:pt>
                <c:pt idx="22">
                  <c:v>37</c:v>
                </c:pt>
                <c:pt idx="23">
                  <c:v>36</c:v>
                </c:pt>
                <c:pt idx="24">
                  <c:v>35</c:v>
                </c:pt>
                <c:pt idx="25">
                  <c:v>34.200000000000003</c:v>
                </c:pt>
                <c:pt idx="26">
                  <c:v>34</c:v>
                </c:pt>
                <c:pt idx="27">
                  <c:v>33.800000000000011</c:v>
                </c:pt>
                <c:pt idx="28">
                  <c:v>33.6</c:v>
                </c:pt>
                <c:pt idx="29">
                  <c:v>33.4</c:v>
                </c:pt>
                <c:pt idx="30">
                  <c:v>33.200000000000003</c:v>
                </c:pt>
                <c:pt idx="31">
                  <c:v>33</c:v>
                </c:pt>
                <c:pt idx="32">
                  <c:v>32.800000000000011</c:v>
                </c:pt>
                <c:pt idx="33">
                  <c:v>32.6</c:v>
                </c:pt>
                <c:pt idx="34">
                  <c:v>32.4</c:v>
                </c:pt>
                <c:pt idx="35">
                  <c:v>32.200000000000003</c:v>
                </c:pt>
                <c:pt idx="36">
                  <c:v>32</c:v>
                </c:pt>
                <c:pt idx="37">
                  <c:v>31.8</c:v>
                </c:pt>
                <c:pt idx="38">
                  <c:v>31.6</c:v>
                </c:pt>
                <c:pt idx="39">
                  <c:v>31.4</c:v>
                </c:pt>
                <c:pt idx="40">
                  <c:v>31.2</c:v>
                </c:pt>
                <c:pt idx="41">
                  <c:v>31</c:v>
                </c:pt>
                <c:pt idx="42">
                  <c:v>30.8</c:v>
                </c:pt>
                <c:pt idx="43">
                  <c:v>30.6</c:v>
                </c:pt>
                <c:pt idx="44">
                  <c:v>30.4</c:v>
                </c:pt>
                <c:pt idx="45">
                  <c:v>30.2</c:v>
                </c:pt>
                <c:pt idx="46">
                  <c:v>30</c:v>
                </c:pt>
                <c:pt idx="47">
                  <c:v>29.8</c:v>
                </c:pt>
                <c:pt idx="48">
                  <c:v>29.6</c:v>
                </c:pt>
                <c:pt idx="49">
                  <c:v>29.4</c:v>
                </c:pt>
                <c:pt idx="50">
                  <c:v>29.2</c:v>
                </c:pt>
                <c:pt idx="51">
                  <c:v>29</c:v>
                </c:pt>
                <c:pt idx="52">
                  <c:v>28.8</c:v>
                </c:pt>
                <c:pt idx="53">
                  <c:v>28.7</c:v>
                </c:pt>
                <c:pt idx="54">
                  <c:v>28.6</c:v>
                </c:pt>
              </c:numCache>
            </c:numRef>
          </c:yVal>
          <c:smooth val="1"/>
        </c:ser>
        <c:axId val="62583936"/>
        <c:axId val="62586240"/>
      </c:scatterChart>
      <c:valAx>
        <c:axId val="62583936"/>
        <c:scaling>
          <c:orientation val="minMax"/>
        </c:scaling>
        <c:axPos val="b"/>
        <c:majorGridlines/>
        <c:minorGridlines/>
        <c:numFmt formatCode="General" sourceLinked="1"/>
        <c:tickLblPos val="nextTo"/>
        <c:spPr>
          <a:ln w="19050">
            <a:tailEnd type="triangle"/>
          </a:ln>
        </c:spPr>
        <c:crossAx val="62586240"/>
        <c:crosses val="autoZero"/>
        <c:crossBetween val="midCat"/>
      </c:valAx>
      <c:valAx>
        <c:axId val="62586240"/>
        <c:scaling>
          <c:orientation val="minMax"/>
        </c:scaling>
        <c:axPos val="l"/>
        <c:majorGridlines/>
        <c:minorGridlines/>
        <c:numFmt formatCode="General" sourceLinked="1"/>
        <c:tickLblPos val="nextTo"/>
        <c:spPr>
          <a:ln w="19050">
            <a:tailEnd type="triangle"/>
          </a:ln>
        </c:spPr>
        <c:crossAx val="62583936"/>
        <c:crosses val="autoZero"/>
        <c:crossBetween val="midCat"/>
      </c:valAx>
    </c:plotArea>
    <c:plotVisOnly val="1"/>
  </c:chart>
  <c:externalData r:id="rId1"/>
  <c:userShapes r:id="rId2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plotArea>
      <c:layout/>
      <c:scatterChart>
        <c:scatterStyle val="smoothMarker"/>
        <c:ser>
          <c:idx val="0"/>
          <c:order val="0"/>
          <c:xVal>
            <c:numRef>
              <c:f>Sheet1!$E$2:$E$56</c:f>
              <c:numCache>
                <c:formatCode>General</c:formatCode>
                <c:ptCount val="55"/>
                <c:pt idx="0">
                  <c:v>5.2</c:v>
                </c:pt>
                <c:pt idx="1">
                  <c:v>0</c:v>
                </c:pt>
                <c:pt idx="2">
                  <c:v>-10</c:v>
                </c:pt>
                <c:pt idx="3">
                  <c:v>-20.5</c:v>
                </c:pt>
                <c:pt idx="4">
                  <c:v>-30.6</c:v>
                </c:pt>
                <c:pt idx="5">
                  <c:v>-40.6</c:v>
                </c:pt>
                <c:pt idx="6">
                  <c:v>-50.8</c:v>
                </c:pt>
                <c:pt idx="7">
                  <c:v>-60.8</c:v>
                </c:pt>
                <c:pt idx="8">
                  <c:v>-70.8</c:v>
                </c:pt>
                <c:pt idx="9">
                  <c:v>-80.8</c:v>
                </c:pt>
                <c:pt idx="10">
                  <c:v>-90.8</c:v>
                </c:pt>
                <c:pt idx="11">
                  <c:v>-99.5</c:v>
                </c:pt>
                <c:pt idx="12">
                  <c:v>-110.5</c:v>
                </c:pt>
                <c:pt idx="13">
                  <c:v>-120.4</c:v>
                </c:pt>
                <c:pt idx="14">
                  <c:v>-130</c:v>
                </c:pt>
                <c:pt idx="15">
                  <c:v>-139.5</c:v>
                </c:pt>
                <c:pt idx="16">
                  <c:v>-142</c:v>
                </c:pt>
                <c:pt idx="17">
                  <c:v>-144.5</c:v>
                </c:pt>
                <c:pt idx="18">
                  <c:v>-147</c:v>
                </c:pt>
                <c:pt idx="19">
                  <c:v>-149.30000000000001</c:v>
                </c:pt>
                <c:pt idx="20">
                  <c:v>-151.80000000000001</c:v>
                </c:pt>
                <c:pt idx="21">
                  <c:v>-154</c:v>
                </c:pt>
                <c:pt idx="22">
                  <c:v>-156.5</c:v>
                </c:pt>
                <c:pt idx="23">
                  <c:v>-159</c:v>
                </c:pt>
                <c:pt idx="24">
                  <c:v>-161.30000000000001</c:v>
                </c:pt>
                <c:pt idx="25">
                  <c:v>-163</c:v>
                </c:pt>
                <c:pt idx="26">
                  <c:v>-163.5</c:v>
                </c:pt>
                <c:pt idx="27">
                  <c:v>-164</c:v>
                </c:pt>
                <c:pt idx="28">
                  <c:v>-164.5</c:v>
                </c:pt>
                <c:pt idx="29">
                  <c:v>-165</c:v>
                </c:pt>
                <c:pt idx="30">
                  <c:v>-165.5</c:v>
                </c:pt>
                <c:pt idx="31">
                  <c:v>-166</c:v>
                </c:pt>
                <c:pt idx="32">
                  <c:v>-166.5</c:v>
                </c:pt>
                <c:pt idx="33">
                  <c:v>-167</c:v>
                </c:pt>
                <c:pt idx="34">
                  <c:v>-167.5</c:v>
                </c:pt>
                <c:pt idx="35">
                  <c:v>-168</c:v>
                </c:pt>
                <c:pt idx="36">
                  <c:v>-168.5</c:v>
                </c:pt>
                <c:pt idx="37">
                  <c:v>-169</c:v>
                </c:pt>
                <c:pt idx="38">
                  <c:v>-169.4</c:v>
                </c:pt>
                <c:pt idx="39">
                  <c:v>-169.9</c:v>
                </c:pt>
                <c:pt idx="40">
                  <c:v>-170.3</c:v>
                </c:pt>
                <c:pt idx="41">
                  <c:v>-170.8</c:v>
                </c:pt>
                <c:pt idx="42">
                  <c:v>-171.3</c:v>
                </c:pt>
                <c:pt idx="43">
                  <c:v>-171.8</c:v>
                </c:pt>
                <c:pt idx="44">
                  <c:v>-172.2</c:v>
                </c:pt>
                <c:pt idx="45">
                  <c:v>-172.6</c:v>
                </c:pt>
                <c:pt idx="46">
                  <c:v>-173</c:v>
                </c:pt>
                <c:pt idx="47">
                  <c:v>-173.5</c:v>
                </c:pt>
                <c:pt idx="48">
                  <c:v>-174</c:v>
                </c:pt>
                <c:pt idx="49">
                  <c:v>-174.5</c:v>
                </c:pt>
                <c:pt idx="50">
                  <c:v>-175</c:v>
                </c:pt>
                <c:pt idx="51">
                  <c:v>-175.5</c:v>
                </c:pt>
                <c:pt idx="52">
                  <c:v>-176</c:v>
                </c:pt>
                <c:pt idx="53">
                  <c:v>-176.2</c:v>
                </c:pt>
                <c:pt idx="54">
                  <c:v>-176.5</c:v>
                </c:pt>
              </c:numCache>
            </c:numRef>
          </c:xVal>
          <c:yVal>
            <c:numRef>
              <c:f>Sheet1!$A$2:$A$56</c:f>
              <c:numCache>
                <c:formatCode>General</c:formatCode>
                <c:ptCount val="55"/>
                <c:pt idx="0">
                  <c:v>1.0720000000000001</c:v>
                </c:pt>
                <c:pt idx="1">
                  <c:v>1.056</c:v>
                </c:pt>
                <c:pt idx="2">
                  <c:v>1.018</c:v>
                </c:pt>
                <c:pt idx="3">
                  <c:v>0.98199999999999998</c:v>
                </c:pt>
                <c:pt idx="4">
                  <c:v>0.94399999999999995</c:v>
                </c:pt>
                <c:pt idx="5">
                  <c:v>0.90400000000000003</c:v>
                </c:pt>
                <c:pt idx="6">
                  <c:v>0.8600000000000001</c:v>
                </c:pt>
                <c:pt idx="7">
                  <c:v>0.81599999999999995</c:v>
                </c:pt>
                <c:pt idx="8">
                  <c:v>0.77000000000000013</c:v>
                </c:pt>
                <c:pt idx="9">
                  <c:v>0.72600000000000009</c:v>
                </c:pt>
                <c:pt idx="10">
                  <c:v>0.68</c:v>
                </c:pt>
                <c:pt idx="11">
                  <c:v>0.63800000000000012</c:v>
                </c:pt>
                <c:pt idx="12">
                  <c:v>0.58699999999999997</c:v>
                </c:pt>
                <c:pt idx="13">
                  <c:v>0.55400000000000005</c:v>
                </c:pt>
                <c:pt idx="14">
                  <c:v>0.52300000000000002</c:v>
                </c:pt>
                <c:pt idx="15">
                  <c:v>0.4850000000000001</c:v>
                </c:pt>
                <c:pt idx="16">
                  <c:v>0.47500000000000003</c:v>
                </c:pt>
                <c:pt idx="17">
                  <c:v>0.46400000000000002</c:v>
                </c:pt>
                <c:pt idx="18">
                  <c:v>0.45300000000000001</c:v>
                </c:pt>
                <c:pt idx="19">
                  <c:v>0.442</c:v>
                </c:pt>
                <c:pt idx="20">
                  <c:v>0.43100000000000011</c:v>
                </c:pt>
                <c:pt idx="21">
                  <c:v>0.42000000000000004</c:v>
                </c:pt>
                <c:pt idx="22">
                  <c:v>0.40900000000000003</c:v>
                </c:pt>
                <c:pt idx="23">
                  <c:v>0.39800000000000008</c:v>
                </c:pt>
                <c:pt idx="24">
                  <c:v>0.38600000000000007</c:v>
                </c:pt>
                <c:pt idx="25">
                  <c:v>0.37700000000000006</c:v>
                </c:pt>
                <c:pt idx="26">
                  <c:v>0.37500000000000006</c:v>
                </c:pt>
                <c:pt idx="27">
                  <c:v>0.37300000000000005</c:v>
                </c:pt>
                <c:pt idx="28">
                  <c:v>0.37000000000000005</c:v>
                </c:pt>
                <c:pt idx="29">
                  <c:v>0.3680000000000001</c:v>
                </c:pt>
                <c:pt idx="30">
                  <c:v>0.3660000000000001</c:v>
                </c:pt>
                <c:pt idx="31">
                  <c:v>0.3630000000000001</c:v>
                </c:pt>
                <c:pt idx="32">
                  <c:v>0.3610000000000001</c:v>
                </c:pt>
                <c:pt idx="33">
                  <c:v>0.3590000000000001</c:v>
                </c:pt>
                <c:pt idx="34">
                  <c:v>0.35600000000000004</c:v>
                </c:pt>
                <c:pt idx="35">
                  <c:v>0.35400000000000004</c:v>
                </c:pt>
                <c:pt idx="36">
                  <c:v>0.35100000000000003</c:v>
                </c:pt>
                <c:pt idx="37">
                  <c:v>0.34800000000000003</c:v>
                </c:pt>
                <c:pt idx="38">
                  <c:v>0.34300000000000008</c:v>
                </c:pt>
                <c:pt idx="39">
                  <c:v>0.32600000000000007</c:v>
                </c:pt>
                <c:pt idx="40">
                  <c:v>0.28800000000000003</c:v>
                </c:pt>
                <c:pt idx="41">
                  <c:v>0.24800000000000003</c:v>
                </c:pt>
                <c:pt idx="42">
                  <c:v>0.20400000000000001</c:v>
                </c:pt>
                <c:pt idx="43">
                  <c:v>0.16700000000000001</c:v>
                </c:pt>
                <c:pt idx="44">
                  <c:v>0.13200000000000001</c:v>
                </c:pt>
                <c:pt idx="45">
                  <c:v>9.5000000000000015E-2</c:v>
                </c:pt>
                <c:pt idx="46">
                  <c:v>7.0000000000000021E-2</c:v>
                </c:pt>
                <c:pt idx="47">
                  <c:v>4.1000000000000002E-2</c:v>
                </c:pt>
                <c:pt idx="48">
                  <c:v>2.3E-2</c:v>
                </c:pt>
                <c:pt idx="49">
                  <c:v>7.000000000000001E-3</c:v>
                </c:pt>
                <c:pt idx="50">
                  <c:v>4.000000000000001E-3</c:v>
                </c:pt>
                <c:pt idx="51">
                  <c:v>1.0999999999999998E-2</c:v>
                </c:pt>
                <c:pt idx="52">
                  <c:v>1.4E-2</c:v>
                </c:pt>
                <c:pt idx="53">
                  <c:v>1.4999999999999998E-2</c:v>
                </c:pt>
                <c:pt idx="54">
                  <c:v>1.4999999999999998E-2</c:v>
                </c:pt>
              </c:numCache>
            </c:numRef>
          </c:yVal>
          <c:smooth val="1"/>
        </c:ser>
        <c:axId val="68306816"/>
        <c:axId val="68936064"/>
      </c:scatterChart>
      <c:valAx>
        <c:axId val="68306816"/>
        <c:scaling>
          <c:orientation val="minMax"/>
        </c:scaling>
        <c:axPos val="b"/>
        <c:majorGridlines/>
        <c:minorGridlines/>
        <c:numFmt formatCode="General" sourceLinked="1"/>
        <c:tickLblPos val="nextTo"/>
        <c:spPr>
          <a:ln w="19050">
            <a:headEnd type="none"/>
            <a:tailEnd type="triangle"/>
          </a:ln>
        </c:spPr>
        <c:crossAx val="68936064"/>
        <c:crosses val="autoZero"/>
        <c:crossBetween val="midCat"/>
      </c:valAx>
      <c:valAx>
        <c:axId val="68936064"/>
        <c:scaling>
          <c:orientation val="minMax"/>
        </c:scaling>
        <c:axPos val="l"/>
        <c:majorGridlines/>
        <c:minorGridlines/>
        <c:numFmt formatCode="General" sourceLinked="1"/>
        <c:tickLblPos val="nextTo"/>
        <c:spPr>
          <a:ln w="19050">
            <a:tailEnd type="triangle"/>
          </a:ln>
        </c:spPr>
        <c:crossAx val="68306816"/>
        <c:crosses val="autoZero"/>
        <c:crossBetween val="midCat"/>
      </c:valAx>
    </c:plotArea>
    <c:plotVisOnly val="1"/>
  </c:chart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plotArea>
      <c:layout/>
      <c:scatterChart>
        <c:scatterStyle val="smoothMarker"/>
        <c:ser>
          <c:idx val="0"/>
          <c:order val="0"/>
          <c:xVal>
            <c:numRef>
              <c:f>Sheet1!$E$27:$E$52</c:f>
              <c:numCache>
                <c:formatCode>General</c:formatCode>
                <c:ptCount val="26"/>
                <c:pt idx="0">
                  <c:v>-163</c:v>
                </c:pt>
                <c:pt idx="1">
                  <c:v>-163.5</c:v>
                </c:pt>
                <c:pt idx="2">
                  <c:v>-164</c:v>
                </c:pt>
                <c:pt idx="3">
                  <c:v>-164.5</c:v>
                </c:pt>
                <c:pt idx="4">
                  <c:v>-165</c:v>
                </c:pt>
                <c:pt idx="5">
                  <c:v>-165.5</c:v>
                </c:pt>
                <c:pt idx="6">
                  <c:v>-166</c:v>
                </c:pt>
                <c:pt idx="7">
                  <c:v>-166.5</c:v>
                </c:pt>
                <c:pt idx="8">
                  <c:v>-167</c:v>
                </c:pt>
                <c:pt idx="9">
                  <c:v>-167.5</c:v>
                </c:pt>
                <c:pt idx="10">
                  <c:v>-168</c:v>
                </c:pt>
                <c:pt idx="11">
                  <c:v>-168.5</c:v>
                </c:pt>
                <c:pt idx="12">
                  <c:v>-169</c:v>
                </c:pt>
                <c:pt idx="13">
                  <c:v>-169.4</c:v>
                </c:pt>
                <c:pt idx="14">
                  <c:v>-169.9</c:v>
                </c:pt>
                <c:pt idx="15">
                  <c:v>-170.3</c:v>
                </c:pt>
                <c:pt idx="16">
                  <c:v>-170.8</c:v>
                </c:pt>
                <c:pt idx="17">
                  <c:v>-171.3</c:v>
                </c:pt>
                <c:pt idx="18">
                  <c:v>-171.8</c:v>
                </c:pt>
                <c:pt idx="19">
                  <c:v>-172.2</c:v>
                </c:pt>
                <c:pt idx="20">
                  <c:v>-172.6</c:v>
                </c:pt>
                <c:pt idx="21">
                  <c:v>-173</c:v>
                </c:pt>
                <c:pt idx="22">
                  <c:v>-173.5</c:v>
                </c:pt>
                <c:pt idx="23">
                  <c:v>-174</c:v>
                </c:pt>
                <c:pt idx="24">
                  <c:v>-174.5</c:v>
                </c:pt>
                <c:pt idx="25">
                  <c:v>-175</c:v>
                </c:pt>
              </c:numCache>
            </c:numRef>
          </c:xVal>
          <c:yVal>
            <c:numRef>
              <c:f>Sheet1!$A$27:$A$52</c:f>
              <c:numCache>
                <c:formatCode>General</c:formatCode>
                <c:ptCount val="26"/>
                <c:pt idx="0">
                  <c:v>0.37700000000000006</c:v>
                </c:pt>
                <c:pt idx="1">
                  <c:v>0.37500000000000006</c:v>
                </c:pt>
                <c:pt idx="2">
                  <c:v>0.37300000000000005</c:v>
                </c:pt>
                <c:pt idx="3">
                  <c:v>0.37000000000000005</c:v>
                </c:pt>
                <c:pt idx="4">
                  <c:v>0.3680000000000001</c:v>
                </c:pt>
                <c:pt idx="5">
                  <c:v>0.3660000000000001</c:v>
                </c:pt>
                <c:pt idx="6">
                  <c:v>0.3630000000000001</c:v>
                </c:pt>
                <c:pt idx="7">
                  <c:v>0.3610000000000001</c:v>
                </c:pt>
                <c:pt idx="8">
                  <c:v>0.3590000000000001</c:v>
                </c:pt>
                <c:pt idx="9">
                  <c:v>0.35600000000000004</c:v>
                </c:pt>
                <c:pt idx="10">
                  <c:v>0.35400000000000004</c:v>
                </c:pt>
                <c:pt idx="11">
                  <c:v>0.35100000000000003</c:v>
                </c:pt>
                <c:pt idx="12">
                  <c:v>0.34800000000000003</c:v>
                </c:pt>
                <c:pt idx="13">
                  <c:v>0.34300000000000008</c:v>
                </c:pt>
                <c:pt idx="14">
                  <c:v>0.32600000000000007</c:v>
                </c:pt>
                <c:pt idx="15">
                  <c:v>0.28800000000000003</c:v>
                </c:pt>
                <c:pt idx="16">
                  <c:v>0.24800000000000003</c:v>
                </c:pt>
                <c:pt idx="17">
                  <c:v>0.20400000000000001</c:v>
                </c:pt>
                <c:pt idx="18">
                  <c:v>0.16700000000000001</c:v>
                </c:pt>
                <c:pt idx="19">
                  <c:v>0.13200000000000001</c:v>
                </c:pt>
                <c:pt idx="20">
                  <c:v>9.5000000000000015E-2</c:v>
                </c:pt>
                <c:pt idx="21">
                  <c:v>7.0000000000000021E-2</c:v>
                </c:pt>
                <c:pt idx="22">
                  <c:v>4.1000000000000002E-2</c:v>
                </c:pt>
                <c:pt idx="23">
                  <c:v>2.3E-2</c:v>
                </c:pt>
                <c:pt idx="24">
                  <c:v>7.000000000000001E-3</c:v>
                </c:pt>
                <c:pt idx="25">
                  <c:v>4.000000000000001E-3</c:v>
                </c:pt>
              </c:numCache>
            </c:numRef>
          </c:yVal>
          <c:smooth val="1"/>
        </c:ser>
        <c:axId val="79925632"/>
        <c:axId val="79927552"/>
      </c:scatterChart>
      <c:valAx>
        <c:axId val="79925632"/>
        <c:scaling>
          <c:orientation val="minMax"/>
        </c:scaling>
        <c:axPos val="b"/>
        <c:majorGridlines/>
        <c:minorGridlines/>
        <c:numFmt formatCode="General" sourceLinked="1"/>
        <c:tickLblPos val="nextTo"/>
        <c:crossAx val="79927552"/>
        <c:crosses val="autoZero"/>
        <c:crossBetween val="midCat"/>
      </c:valAx>
      <c:valAx>
        <c:axId val="79927552"/>
        <c:scaling>
          <c:orientation val="minMax"/>
        </c:scaling>
        <c:axPos val="l"/>
        <c:majorGridlines/>
        <c:minorGridlines/>
        <c:numFmt formatCode="General" sourceLinked="1"/>
        <c:tickLblPos val="nextTo"/>
        <c:crossAx val="79925632"/>
        <c:crosses val="autoZero"/>
        <c:crossBetween val="midCat"/>
      </c:valAx>
    </c:plotArea>
    <c:plotVisOnly val="1"/>
  </c:chart>
  <c:externalData r:id="rId1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plotArea>
      <c:layout/>
      <c:scatterChart>
        <c:scatterStyle val="smoothMarker"/>
        <c:ser>
          <c:idx val="0"/>
          <c:order val="0"/>
          <c:xVal>
            <c:numRef>
              <c:f>Sheet1!$E$2:$E$56</c:f>
              <c:numCache>
                <c:formatCode>General</c:formatCode>
                <c:ptCount val="55"/>
                <c:pt idx="0">
                  <c:v>5.2</c:v>
                </c:pt>
                <c:pt idx="1">
                  <c:v>0</c:v>
                </c:pt>
                <c:pt idx="2">
                  <c:v>-10</c:v>
                </c:pt>
                <c:pt idx="3">
                  <c:v>-20.5</c:v>
                </c:pt>
                <c:pt idx="4">
                  <c:v>-30.6</c:v>
                </c:pt>
                <c:pt idx="5">
                  <c:v>-40.6</c:v>
                </c:pt>
                <c:pt idx="6">
                  <c:v>-50.8</c:v>
                </c:pt>
                <c:pt idx="7">
                  <c:v>-60.8</c:v>
                </c:pt>
                <c:pt idx="8">
                  <c:v>-70.8</c:v>
                </c:pt>
                <c:pt idx="9">
                  <c:v>-80.8</c:v>
                </c:pt>
                <c:pt idx="10">
                  <c:v>-90.8</c:v>
                </c:pt>
                <c:pt idx="11">
                  <c:v>-99.5</c:v>
                </c:pt>
                <c:pt idx="12">
                  <c:v>-110.5</c:v>
                </c:pt>
                <c:pt idx="13">
                  <c:v>-120.4</c:v>
                </c:pt>
                <c:pt idx="14">
                  <c:v>-130</c:v>
                </c:pt>
                <c:pt idx="15">
                  <c:v>-139.5</c:v>
                </c:pt>
                <c:pt idx="16">
                  <c:v>-142</c:v>
                </c:pt>
                <c:pt idx="17">
                  <c:v>-144.5</c:v>
                </c:pt>
                <c:pt idx="18">
                  <c:v>-147</c:v>
                </c:pt>
                <c:pt idx="19">
                  <c:v>-149.30000000000001</c:v>
                </c:pt>
                <c:pt idx="20">
                  <c:v>-151.80000000000001</c:v>
                </c:pt>
                <c:pt idx="21">
                  <c:v>-154</c:v>
                </c:pt>
                <c:pt idx="22">
                  <c:v>-156.5</c:v>
                </c:pt>
                <c:pt idx="23">
                  <c:v>-159</c:v>
                </c:pt>
                <c:pt idx="24">
                  <c:v>-161.30000000000001</c:v>
                </c:pt>
                <c:pt idx="25">
                  <c:v>-163</c:v>
                </c:pt>
                <c:pt idx="26">
                  <c:v>-163.5</c:v>
                </c:pt>
                <c:pt idx="27">
                  <c:v>-164</c:v>
                </c:pt>
                <c:pt idx="28">
                  <c:v>-164.5</c:v>
                </c:pt>
                <c:pt idx="29">
                  <c:v>-165</c:v>
                </c:pt>
                <c:pt idx="30">
                  <c:v>-165.5</c:v>
                </c:pt>
                <c:pt idx="31">
                  <c:v>-166</c:v>
                </c:pt>
                <c:pt idx="32">
                  <c:v>-166.5</c:v>
                </c:pt>
                <c:pt idx="33">
                  <c:v>-167</c:v>
                </c:pt>
                <c:pt idx="34">
                  <c:v>-167.5</c:v>
                </c:pt>
                <c:pt idx="35">
                  <c:v>-168</c:v>
                </c:pt>
                <c:pt idx="36">
                  <c:v>-168.5</c:v>
                </c:pt>
                <c:pt idx="37">
                  <c:v>-169</c:v>
                </c:pt>
                <c:pt idx="38">
                  <c:v>-169.4</c:v>
                </c:pt>
                <c:pt idx="39">
                  <c:v>-169.9</c:v>
                </c:pt>
                <c:pt idx="40">
                  <c:v>-170.3</c:v>
                </c:pt>
                <c:pt idx="41">
                  <c:v>-170.8</c:v>
                </c:pt>
                <c:pt idx="42">
                  <c:v>-171.3</c:v>
                </c:pt>
                <c:pt idx="43">
                  <c:v>-171.8</c:v>
                </c:pt>
                <c:pt idx="44">
                  <c:v>-172.2</c:v>
                </c:pt>
                <c:pt idx="45">
                  <c:v>-172.6</c:v>
                </c:pt>
                <c:pt idx="46">
                  <c:v>-173</c:v>
                </c:pt>
                <c:pt idx="47">
                  <c:v>-173.5</c:v>
                </c:pt>
                <c:pt idx="48">
                  <c:v>-174</c:v>
                </c:pt>
                <c:pt idx="49">
                  <c:v>-174.5</c:v>
                </c:pt>
                <c:pt idx="50">
                  <c:v>-175</c:v>
                </c:pt>
                <c:pt idx="51">
                  <c:v>-175.5</c:v>
                </c:pt>
                <c:pt idx="52">
                  <c:v>-176</c:v>
                </c:pt>
                <c:pt idx="53">
                  <c:v>-176.2</c:v>
                </c:pt>
                <c:pt idx="54">
                  <c:v>-176.5</c:v>
                </c:pt>
              </c:numCache>
            </c:numRef>
          </c:xVal>
          <c:yVal>
            <c:numRef>
              <c:f>Sheet1!$D$2:$D$56</c:f>
              <c:numCache>
                <c:formatCode>General</c:formatCode>
                <c:ptCount val="55"/>
                <c:pt idx="0">
                  <c:v>3.65</c:v>
                </c:pt>
                <c:pt idx="1">
                  <c:v>3.66</c:v>
                </c:pt>
                <c:pt idx="2">
                  <c:v>3.74</c:v>
                </c:pt>
                <c:pt idx="3">
                  <c:v>3.7800000000000002</c:v>
                </c:pt>
                <c:pt idx="4">
                  <c:v>3.72</c:v>
                </c:pt>
                <c:pt idx="5">
                  <c:v>3.8</c:v>
                </c:pt>
                <c:pt idx="6">
                  <c:v>3.9</c:v>
                </c:pt>
                <c:pt idx="7">
                  <c:v>3.92</c:v>
                </c:pt>
                <c:pt idx="8">
                  <c:v>4.08</c:v>
                </c:pt>
                <c:pt idx="9">
                  <c:v>4.68</c:v>
                </c:pt>
                <c:pt idx="10">
                  <c:v>5.04</c:v>
                </c:pt>
                <c:pt idx="11">
                  <c:v>5.34</c:v>
                </c:pt>
                <c:pt idx="12">
                  <c:v>6.05</c:v>
                </c:pt>
                <c:pt idx="13">
                  <c:v>6.21</c:v>
                </c:pt>
                <c:pt idx="14">
                  <c:v>6.44</c:v>
                </c:pt>
                <c:pt idx="15">
                  <c:v>6.72</c:v>
                </c:pt>
                <c:pt idx="16">
                  <c:v>6.8</c:v>
                </c:pt>
                <c:pt idx="17">
                  <c:v>6.8599999999999994</c:v>
                </c:pt>
                <c:pt idx="18">
                  <c:v>6.92</c:v>
                </c:pt>
                <c:pt idx="19">
                  <c:v>6.98</c:v>
                </c:pt>
                <c:pt idx="20">
                  <c:v>7.05</c:v>
                </c:pt>
                <c:pt idx="21">
                  <c:v>7.13</c:v>
                </c:pt>
                <c:pt idx="22">
                  <c:v>7.2</c:v>
                </c:pt>
                <c:pt idx="23">
                  <c:v>7.28</c:v>
                </c:pt>
                <c:pt idx="24">
                  <c:v>7.3599999999999994</c:v>
                </c:pt>
                <c:pt idx="25">
                  <c:v>7.4300000000000006</c:v>
                </c:pt>
                <c:pt idx="26">
                  <c:v>7.44</c:v>
                </c:pt>
                <c:pt idx="27">
                  <c:v>7.46</c:v>
                </c:pt>
                <c:pt idx="28">
                  <c:v>7.48</c:v>
                </c:pt>
                <c:pt idx="29">
                  <c:v>7.49</c:v>
                </c:pt>
                <c:pt idx="30">
                  <c:v>7.52</c:v>
                </c:pt>
                <c:pt idx="31">
                  <c:v>7.58</c:v>
                </c:pt>
                <c:pt idx="32">
                  <c:v>7.8</c:v>
                </c:pt>
                <c:pt idx="33">
                  <c:v>7.87</c:v>
                </c:pt>
                <c:pt idx="34">
                  <c:v>7.75</c:v>
                </c:pt>
                <c:pt idx="35">
                  <c:v>8.32</c:v>
                </c:pt>
                <c:pt idx="36">
                  <c:v>9.0400000000000009</c:v>
                </c:pt>
                <c:pt idx="37">
                  <c:v>9.18</c:v>
                </c:pt>
                <c:pt idx="38">
                  <c:v>9.1</c:v>
                </c:pt>
                <c:pt idx="39">
                  <c:v>9.07</c:v>
                </c:pt>
                <c:pt idx="40">
                  <c:v>9.0400000000000009</c:v>
                </c:pt>
                <c:pt idx="41">
                  <c:v>9.01</c:v>
                </c:pt>
                <c:pt idx="42">
                  <c:v>8.9600000000000026</c:v>
                </c:pt>
                <c:pt idx="43">
                  <c:v>8.93</c:v>
                </c:pt>
                <c:pt idx="44">
                  <c:v>8.89</c:v>
                </c:pt>
                <c:pt idx="45">
                  <c:v>8.8500000000000014</c:v>
                </c:pt>
                <c:pt idx="46">
                  <c:v>8.82</c:v>
                </c:pt>
                <c:pt idx="47">
                  <c:v>8.7900000000000009</c:v>
                </c:pt>
                <c:pt idx="48">
                  <c:v>8.76</c:v>
                </c:pt>
                <c:pt idx="49">
                  <c:v>8.7299999999999986</c:v>
                </c:pt>
                <c:pt idx="50">
                  <c:v>8.69</c:v>
                </c:pt>
                <c:pt idx="51">
                  <c:v>8.66</c:v>
                </c:pt>
                <c:pt idx="52">
                  <c:v>8.6</c:v>
                </c:pt>
                <c:pt idx="53">
                  <c:v>8.5500000000000007</c:v>
                </c:pt>
                <c:pt idx="54">
                  <c:v>8.5300000000000011</c:v>
                </c:pt>
              </c:numCache>
            </c:numRef>
          </c:yVal>
          <c:smooth val="1"/>
        </c:ser>
        <c:axId val="80346496"/>
        <c:axId val="92512640"/>
      </c:scatterChart>
      <c:valAx>
        <c:axId val="80346496"/>
        <c:scaling>
          <c:orientation val="minMax"/>
        </c:scaling>
        <c:axPos val="b"/>
        <c:majorGridlines/>
        <c:minorGridlines/>
        <c:numFmt formatCode="General" sourceLinked="1"/>
        <c:tickLblPos val="nextTo"/>
        <c:spPr>
          <a:ln w="19050">
            <a:tailEnd type="triangle"/>
          </a:ln>
        </c:spPr>
        <c:crossAx val="92512640"/>
        <c:crosses val="autoZero"/>
        <c:crossBetween val="midCat"/>
      </c:valAx>
      <c:valAx>
        <c:axId val="92512640"/>
        <c:scaling>
          <c:orientation val="minMax"/>
        </c:scaling>
        <c:axPos val="l"/>
        <c:majorGridlines/>
        <c:minorGridlines/>
        <c:numFmt formatCode="General" sourceLinked="1"/>
        <c:tickLblPos val="nextTo"/>
        <c:spPr>
          <a:ln w="19050">
            <a:tailEnd type="triangle"/>
          </a:ln>
        </c:spPr>
        <c:crossAx val="80346496"/>
        <c:crosses val="autoZero"/>
        <c:crossBetween val="midCat"/>
      </c:valAx>
      <c:spPr>
        <a:noFill/>
        <a:ln w="25400">
          <a:noFill/>
        </a:ln>
      </c:spPr>
    </c:plotArea>
    <c:plotVisOnly val="1"/>
  </c:chart>
  <c:externalData r:id="rId1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plotArea>
      <c:layout>
        <c:manualLayout>
          <c:layoutTarget val="inner"/>
          <c:xMode val="edge"/>
          <c:yMode val="edge"/>
          <c:x val="0.13925699912510944"/>
          <c:y val="7.4548702245552628E-2"/>
          <c:w val="0.71851377952755857"/>
          <c:h val="0.79822506561679785"/>
        </c:manualLayout>
      </c:layout>
      <c:scatterChart>
        <c:scatterStyle val="smoothMarker"/>
        <c:ser>
          <c:idx val="0"/>
          <c:order val="0"/>
          <c:xVal>
            <c:numRef>
              <c:f>Sheet1!$E$27:$E$52</c:f>
              <c:numCache>
                <c:formatCode>General</c:formatCode>
                <c:ptCount val="26"/>
                <c:pt idx="0">
                  <c:v>-163</c:v>
                </c:pt>
                <c:pt idx="1">
                  <c:v>-163.5</c:v>
                </c:pt>
                <c:pt idx="2">
                  <c:v>-164</c:v>
                </c:pt>
                <c:pt idx="3">
                  <c:v>-164.5</c:v>
                </c:pt>
                <c:pt idx="4">
                  <c:v>-165</c:v>
                </c:pt>
                <c:pt idx="5">
                  <c:v>-165.5</c:v>
                </c:pt>
                <c:pt idx="6">
                  <c:v>-166</c:v>
                </c:pt>
                <c:pt idx="7">
                  <c:v>-166.5</c:v>
                </c:pt>
                <c:pt idx="8">
                  <c:v>-167</c:v>
                </c:pt>
                <c:pt idx="9">
                  <c:v>-167.5</c:v>
                </c:pt>
                <c:pt idx="10">
                  <c:v>-168</c:v>
                </c:pt>
                <c:pt idx="11">
                  <c:v>-168.5</c:v>
                </c:pt>
                <c:pt idx="12">
                  <c:v>-169</c:v>
                </c:pt>
                <c:pt idx="13">
                  <c:v>-169.4</c:v>
                </c:pt>
                <c:pt idx="14">
                  <c:v>-169.9</c:v>
                </c:pt>
                <c:pt idx="15">
                  <c:v>-170.3</c:v>
                </c:pt>
                <c:pt idx="16">
                  <c:v>-170.8</c:v>
                </c:pt>
                <c:pt idx="17">
                  <c:v>-171.3</c:v>
                </c:pt>
                <c:pt idx="18">
                  <c:v>-171.8</c:v>
                </c:pt>
                <c:pt idx="19">
                  <c:v>-172.2</c:v>
                </c:pt>
                <c:pt idx="20">
                  <c:v>-172.6</c:v>
                </c:pt>
                <c:pt idx="21">
                  <c:v>-173</c:v>
                </c:pt>
                <c:pt idx="22">
                  <c:v>-173.5</c:v>
                </c:pt>
                <c:pt idx="23">
                  <c:v>-174</c:v>
                </c:pt>
                <c:pt idx="24">
                  <c:v>-174.5</c:v>
                </c:pt>
                <c:pt idx="25">
                  <c:v>-175</c:v>
                </c:pt>
              </c:numCache>
            </c:numRef>
          </c:xVal>
          <c:yVal>
            <c:numRef>
              <c:f>Sheet1!$D$27:$D$52</c:f>
              <c:numCache>
                <c:formatCode>General</c:formatCode>
                <c:ptCount val="26"/>
                <c:pt idx="0">
                  <c:v>7.4300000000000006</c:v>
                </c:pt>
                <c:pt idx="1">
                  <c:v>7.44</c:v>
                </c:pt>
                <c:pt idx="2">
                  <c:v>7.46</c:v>
                </c:pt>
                <c:pt idx="3">
                  <c:v>7.48</c:v>
                </c:pt>
                <c:pt idx="4">
                  <c:v>7.49</c:v>
                </c:pt>
                <c:pt idx="5">
                  <c:v>7.52</c:v>
                </c:pt>
                <c:pt idx="6">
                  <c:v>7.58</c:v>
                </c:pt>
                <c:pt idx="7">
                  <c:v>7.8</c:v>
                </c:pt>
                <c:pt idx="8">
                  <c:v>7.87</c:v>
                </c:pt>
                <c:pt idx="9">
                  <c:v>7.75</c:v>
                </c:pt>
                <c:pt idx="10">
                  <c:v>8.32</c:v>
                </c:pt>
                <c:pt idx="11">
                  <c:v>9.0400000000000009</c:v>
                </c:pt>
                <c:pt idx="12">
                  <c:v>9.18</c:v>
                </c:pt>
                <c:pt idx="13">
                  <c:v>9.1</c:v>
                </c:pt>
                <c:pt idx="14">
                  <c:v>9.07</c:v>
                </c:pt>
                <c:pt idx="15">
                  <c:v>9.0400000000000009</c:v>
                </c:pt>
                <c:pt idx="16">
                  <c:v>9.01</c:v>
                </c:pt>
                <c:pt idx="17">
                  <c:v>8.9600000000000026</c:v>
                </c:pt>
                <c:pt idx="18">
                  <c:v>8.93</c:v>
                </c:pt>
                <c:pt idx="19">
                  <c:v>8.89</c:v>
                </c:pt>
                <c:pt idx="20">
                  <c:v>8.8500000000000014</c:v>
                </c:pt>
                <c:pt idx="21">
                  <c:v>8.82</c:v>
                </c:pt>
                <c:pt idx="22">
                  <c:v>8.7900000000000009</c:v>
                </c:pt>
                <c:pt idx="23">
                  <c:v>8.76</c:v>
                </c:pt>
                <c:pt idx="24">
                  <c:v>8.7299999999999986</c:v>
                </c:pt>
                <c:pt idx="25">
                  <c:v>8.69</c:v>
                </c:pt>
              </c:numCache>
            </c:numRef>
          </c:yVal>
          <c:smooth val="1"/>
        </c:ser>
        <c:axId val="92710016"/>
        <c:axId val="92711936"/>
      </c:scatterChart>
      <c:valAx>
        <c:axId val="92710016"/>
        <c:scaling>
          <c:orientation val="minMax"/>
        </c:scaling>
        <c:axPos val="b"/>
        <c:majorGridlines/>
        <c:numFmt formatCode="General" sourceLinked="1"/>
        <c:tickLblPos val="nextTo"/>
        <c:spPr>
          <a:ln w="19050">
            <a:tailEnd type="triangle"/>
          </a:ln>
        </c:spPr>
        <c:crossAx val="92711936"/>
        <c:crossesAt val="5"/>
        <c:crossBetween val="midCat"/>
      </c:valAx>
      <c:valAx>
        <c:axId val="92711936"/>
        <c:scaling>
          <c:orientation val="minMax"/>
        </c:scaling>
        <c:axPos val="l"/>
        <c:majorGridlines/>
        <c:minorGridlines/>
        <c:numFmt formatCode="General" sourceLinked="1"/>
        <c:tickLblPos val="nextTo"/>
        <c:spPr>
          <a:ln w="19050">
            <a:tailEnd type="triangle"/>
          </a:ln>
        </c:spPr>
        <c:crossAx val="92710016"/>
        <c:crosses val="autoZero"/>
        <c:crossBetween val="midCat"/>
      </c:valAx>
    </c:plotArea>
    <c:plotVisOnly val="1"/>
  </c:chart>
  <c:externalData r:id="rId1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plotArea>
      <c:layout>
        <c:manualLayout>
          <c:layoutTarget val="inner"/>
          <c:xMode val="edge"/>
          <c:yMode val="edge"/>
          <c:x val="4.2034776902887171E-2"/>
          <c:y val="7.4548702245552642E-2"/>
          <c:w val="0.72980555555555604"/>
          <c:h val="0.79822506561679785"/>
        </c:manualLayout>
      </c:layout>
      <c:scatterChart>
        <c:scatterStyle val="smoothMarker"/>
        <c:ser>
          <c:idx val="0"/>
          <c:order val="0"/>
          <c:trendline>
            <c:trendlineType val="linear"/>
            <c:dispRSqr val="1"/>
            <c:dispEq val="1"/>
            <c:trendlineLbl>
              <c:layout>
                <c:manualLayout>
                  <c:x val="-0.17907358802371917"/>
                  <c:y val="3.1130854632475752E-2"/>
                </c:manualLayout>
              </c:layout>
              <c:numFmt formatCode="General" sourceLinked="0"/>
            </c:trendlineLbl>
          </c:trendline>
          <c:xVal>
            <c:numRef>
              <c:f>Sheet1!$E$2:$E$56</c:f>
              <c:numCache>
                <c:formatCode>General</c:formatCode>
                <c:ptCount val="55"/>
                <c:pt idx="0">
                  <c:v>5.2</c:v>
                </c:pt>
                <c:pt idx="1">
                  <c:v>0</c:v>
                </c:pt>
                <c:pt idx="2">
                  <c:v>-10</c:v>
                </c:pt>
                <c:pt idx="3">
                  <c:v>-20.5</c:v>
                </c:pt>
                <c:pt idx="4">
                  <c:v>-30.6</c:v>
                </c:pt>
                <c:pt idx="5">
                  <c:v>-40.6</c:v>
                </c:pt>
                <c:pt idx="6">
                  <c:v>-50.8</c:v>
                </c:pt>
                <c:pt idx="7">
                  <c:v>-60.8</c:v>
                </c:pt>
                <c:pt idx="8">
                  <c:v>-70.8</c:v>
                </c:pt>
                <c:pt idx="9">
                  <c:v>-80.8</c:v>
                </c:pt>
                <c:pt idx="10">
                  <c:v>-90.8</c:v>
                </c:pt>
                <c:pt idx="11">
                  <c:v>-99.5</c:v>
                </c:pt>
                <c:pt idx="12">
                  <c:v>-110.5</c:v>
                </c:pt>
                <c:pt idx="13">
                  <c:v>-120.4</c:v>
                </c:pt>
                <c:pt idx="14">
                  <c:v>-130</c:v>
                </c:pt>
                <c:pt idx="15">
                  <c:v>-139.5</c:v>
                </c:pt>
                <c:pt idx="16">
                  <c:v>-142</c:v>
                </c:pt>
                <c:pt idx="17">
                  <c:v>-144.5</c:v>
                </c:pt>
                <c:pt idx="18">
                  <c:v>-147</c:v>
                </c:pt>
                <c:pt idx="19">
                  <c:v>-149.30000000000001</c:v>
                </c:pt>
                <c:pt idx="20">
                  <c:v>-151.80000000000001</c:v>
                </c:pt>
                <c:pt idx="21">
                  <c:v>-154</c:v>
                </c:pt>
                <c:pt idx="22">
                  <c:v>-156.5</c:v>
                </c:pt>
                <c:pt idx="23">
                  <c:v>-159</c:v>
                </c:pt>
                <c:pt idx="24">
                  <c:v>-161.30000000000001</c:v>
                </c:pt>
                <c:pt idx="25">
                  <c:v>-163</c:v>
                </c:pt>
                <c:pt idx="26">
                  <c:v>-163.5</c:v>
                </c:pt>
                <c:pt idx="27">
                  <c:v>-164</c:v>
                </c:pt>
                <c:pt idx="28">
                  <c:v>-164.5</c:v>
                </c:pt>
                <c:pt idx="29">
                  <c:v>-165</c:v>
                </c:pt>
                <c:pt idx="30">
                  <c:v>-165.5</c:v>
                </c:pt>
                <c:pt idx="31">
                  <c:v>-166</c:v>
                </c:pt>
                <c:pt idx="32">
                  <c:v>-166.5</c:v>
                </c:pt>
                <c:pt idx="33">
                  <c:v>-167</c:v>
                </c:pt>
                <c:pt idx="34">
                  <c:v>-167.5</c:v>
                </c:pt>
                <c:pt idx="35">
                  <c:v>-168</c:v>
                </c:pt>
                <c:pt idx="36">
                  <c:v>-168.5</c:v>
                </c:pt>
                <c:pt idx="37">
                  <c:v>-169</c:v>
                </c:pt>
                <c:pt idx="38">
                  <c:v>-169.4</c:v>
                </c:pt>
                <c:pt idx="39">
                  <c:v>-169.9</c:v>
                </c:pt>
                <c:pt idx="40">
                  <c:v>-170.3</c:v>
                </c:pt>
                <c:pt idx="41">
                  <c:v>-170.8</c:v>
                </c:pt>
                <c:pt idx="42">
                  <c:v>-171.3</c:v>
                </c:pt>
                <c:pt idx="43">
                  <c:v>-171.8</c:v>
                </c:pt>
                <c:pt idx="44">
                  <c:v>-172.2</c:v>
                </c:pt>
                <c:pt idx="45">
                  <c:v>-172.6</c:v>
                </c:pt>
                <c:pt idx="46">
                  <c:v>-173</c:v>
                </c:pt>
                <c:pt idx="47">
                  <c:v>-173.5</c:v>
                </c:pt>
                <c:pt idx="48">
                  <c:v>-174</c:v>
                </c:pt>
                <c:pt idx="49">
                  <c:v>-174.5</c:v>
                </c:pt>
                <c:pt idx="50">
                  <c:v>-175</c:v>
                </c:pt>
                <c:pt idx="51">
                  <c:v>-175.5</c:v>
                </c:pt>
                <c:pt idx="52">
                  <c:v>-176</c:v>
                </c:pt>
                <c:pt idx="53">
                  <c:v>-176.2</c:v>
                </c:pt>
                <c:pt idx="54">
                  <c:v>-176.5</c:v>
                </c:pt>
              </c:numCache>
            </c:numRef>
          </c:xVal>
          <c:yVal>
            <c:numRef>
              <c:f>Sheet1!$C$2:$C$56</c:f>
              <c:numCache>
                <c:formatCode>General</c:formatCode>
                <c:ptCount val="55"/>
                <c:pt idx="0">
                  <c:v>0.66200000000000014</c:v>
                </c:pt>
                <c:pt idx="1">
                  <c:v>0.67200000000000015</c:v>
                </c:pt>
                <c:pt idx="2">
                  <c:v>0.69399999999999995</c:v>
                </c:pt>
                <c:pt idx="3">
                  <c:v>0.71300000000000008</c:v>
                </c:pt>
                <c:pt idx="4">
                  <c:v>0.72900000000000009</c:v>
                </c:pt>
                <c:pt idx="5">
                  <c:v>0.74700000000000011</c:v>
                </c:pt>
                <c:pt idx="6">
                  <c:v>0.76500000000000012</c:v>
                </c:pt>
                <c:pt idx="7">
                  <c:v>0.78300000000000003</c:v>
                </c:pt>
                <c:pt idx="8">
                  <c:v>0.80100000000000005</c:v>
                </c:pt>
                <c:pt idx="9">
                  <c:v>0.81799999999999995</c:v>
                </c:pt>
                <c:pt idx="10">
                  <c:v>0.83600000000000008</c:v>
                </c:pt>
                <c:pt idx="11">
                  <c:v>0.85400000000000009</c:v>
                </c:pt>
                <c:pt idx="12">
                  <c:v>0.88800000000000001</c:v>
                </c:pt>
                <c:pt idx="13">
                  <c:v>0.90300000000000002</c:v>
                </c:pt>
                <c:pt idx="14">
                  <c:v>0.91700000000000004</c:v>
                </c:pt>
                <c:pt idx="15">
                  <c:v>0.93200000000000005</c:v>
                </c:pt>
                <c:pt idx="16">
                  <c:v>0.93600000000000005</c:v>
                </c:pt>
                <c:pt idx="17">
                  <c:v>0.94000000000000006</c:v>
                </c:pt>
                <c:pt idx="18">
                  <c:v>0.94399999999999995</c:v>
                </c:pt>
                <c:pt idx="19">
                  <c:v>0.94899999999999995</c:v>
                </c:pt>
                <c:pt idx="20">
                  <c:v>0.95300000000000007</c:v>
                </c:pt>
                <c:pt idx="21">
                  <c:v>0.95700000000000007</c:v>
                </c:pt>
                <c:pt idx="22">
                  <c:v>0.96100000000000008</c:v>
                </c:pt>
                <c:pt idx="23">
                  <c:v>0.96600000000000008</c:v>
                </c:pt>
                <c:pt idx="24">
                  <c:v>0.97000000000000008</c:v>
                </c:pt>
                <c:pt idx="25">
                  <c:v>0.97300000000000009</c:v>
                </c:pt>
                <c:pt idx="26">
                  <c:v>0.97400000000000009</c:v>
                </c:pt>
                <c:pt idx="27">
                  <c:v>0.97500000000000009</c:v>
                </c:pt>
                <c:pt idx="28">
                  <c:v>0.97600000000000009</c:v>
                </c:pt>
                <c:pt idx="29">
                  <c:v>0.97700000000000009</c:v>
                </c:pt>
                <c:pt idx="30">
                  <c:v>0.97800000000000009</c:v>
                </c:pt>
                <c:pt idx="31">
                  <c:v>0.97900000000000009</c:v>
                </c:pt>
                <c:pt idx="32">
                  <c:v>0.97900000000000009</c:v>
                </c:pt>
                <c:pt idx="33">
                  <c:v>0.98</c:v>
                </c:pt>
                <c:pt idx="34">
                  <c:v>0.98099999999999998</c:v>
                </c:pt>
                <c:pt idx="35">
                  <c:v>0.98199999999999998</c:v>
                </c:pt>
                <c:pt idx="36">
                  <c:v>0.98299999999999998</c:v>
                </c:pt>
                <c:pt idx="37">
                  <c:v>0.98299999999999998</c:v>
                </c:pt>
                <c:pt idx="38">
                  <c:v>0.98399999999999999</c:v>
                </c:pt>
                <c:pt idx="39">
                  <c:v>0.98499999999999999</c:v>
                </c:pt>
                <c:pt idx="40">
                  <c:v>0.98599999999999999</c:v>
                </c:pt>
                <c:pt idx="41">
                  <c:v>0.98699999999999999</c:v>
                </c:pt>
                <c:pt idx="42">
                  <c:v>0.98799999999999999</c:v>
                </c:pt>
                <c:pt idx="43">
                  <c:v>0.98799999999999999</c:v>
                </c:pt>
                <c:pt idx="44">
                  <c:v>0.98899999999999999</c:v>
                </c:pt>
                <c:pt idx="45">
                  <c:v>0.99</c:v>
                </c:pt>
                <c:pt idx="46">
                  <c:v>0.99099999999999999</c:v>
                </c:pt>
                <c:pt idx="47">
                  <c:v>0.99199999999999999</c:v>
                </c:pt>
                <c:pt idx="48">
                  <c:v>0.99299999999999999</c:v>
                </c:pt>
                <c:pt idx="49">
                  <c:v>0.99299999999999999</c:v>
                </c:pt>
                <c:pt idx="50">
                  <c:v>0.99399999999999999</c:v>
                </c:pt>
                <c:pt idx="51">
                  <c:v>0.995</c:v>
                </c:pt>
                <c:pt idx="52">
                  <c:v>0.995</c:v>
                </c:pt>
                <c:pt idx="53">
                  <c:v>0.995</c:v>
                </c:pt>
                <c:pt idx="54">
                  <c:v>0.996</c:v>
                </c:pt>
              </c:numCache>
            </c:numRef>
          </c:yVal>
          <c:smooth val="1"/>
        </c:ser>
        <c:axId val="92929408"/>
        <c:axId val="210834560"/>
      </c:scatterChart>
      <c:valAx>
        <c:axId val="92929408"/>
        <c:scaling>
          <c:orientation val="minMax"/>
        </c:scaling>
        <c:axPos val="b"/>
        <c:majorGridlines/>
        <c:minorGridlines/>
        <c:numFmt formatCode="General" sourceLinked="1"/>
        <c:tickLblPos val="nextTo"/>
        <c:spPr>
          <a:ln w="19050">
            <a:tailEnd type="triangle"/>
          </a:ln>
        </c:spPr>
        <c:crossAx val="210834560"/>
        <c:crosses val="autoZero"/>
        <c:crossBetween val="midCat"/>
      </c:valAx>
      <c:valAx>
        <c:axId val="210834560"/>
        <c:scaling>
          <c:orientation val="minMax"/>
        </c:scaling>
        <c:axPos val="l"/>
        <c:majorGridlines/>
        <c:minorGridlines/>
        <c:numFmt formatCode="General" sourceLinked="1"/>
        <c:tickLblPos val="nextTo"/>
        <c:spPr>
          <a:ln w="19050">
            <a:tailEnd type="triangle"/>
          </a:ln>
        </c:spPr>
        <c:crossAx val="92929408"/>
        <c:crosses val="autoZero"/>
        <c:crossBetween val="midCat"/>
      </c:valAx>
    </c:plotArea>
    <c:plotVisOnly val="1"/>
  </c:chart>
  <c:externalData r:id="rId1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0.84158</cdr:x>
      <cdr:y>0.24528</cdr:y>
    </cdr:from>
    <cdr:to>
      <cdr:x>1</cdr:x>
      <cdr:y>0.44654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4857750" y="1114426"/>
          <a:ext cx="914400" cy="9144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/>
        <a:p xmlns:a="http://schemas.openxmlformats.org/drawingml/2006/main">
          <a:endParaRPr lang="zh-CN" altLang="en-US" sz="1100"/>
        </a:p>
      </cdr:txBody>
    </cdr:sp>
  </cdr:relSizeAnchor>
</c:userShap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2</Words>
  <Characters>14</Characters>
  <Application>Microsoft Office Word</Application>
  <DocSecurity>0</DocSecurity>
  <Lines>1</Lines>
  <Paragraphs>1</Paragraphs>
  <ScaleCrop>false</ScaleCrop>
  <Company>Hewlett-Packard</Company>
  <LinksUpToDate>false</LinksUpToDate>
  <CharactersWithSpaces>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小飞</dc:creator>
  <cp:keywords/>
  <dc:description/>
  <cp:lastModifiedBy>小飞</cp:lastModifiedBy>
  <cp:revision>3</cp:revision>
  <dcterms:created xsi:type="dcterms:W3CDTF">2009-05-23T06:02:00Z</dcterms:created>
  <dcterms:modified xsi:type="dcterms:W3CDTF">2009-05-23T06:51:00Z</dcterms:modified>
</cp:coreProperties>
</file>