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28"/>
          <w:lang w:val="en-US" w:eastAsia="zh-CN"/>
        </w:rPr>
      </w:pPr>
      <w:r>
        <w:rPr>
          <w:rFonts w:hint="eastAsia"/>
          <w:lang w:val="en-US" w:eastAsia="zh-CN"/>
        </w:rPr>
        <w:t xml:space="preserve">         </w:t>
      </w:r>
      <w:r>
        <w:rPr>
          <w:rFonts w:hint="eastAsia"/>
          <w:sz w:val="28"/>
          <w:szCs w:val="28"/>
          <w:lang w:val="en-US" w:eastAsia="zh-CN"/>
        </w:rPr>
        <w:t>Part4   How to improve the fuel cell performance</w:t>
      </w:r>
    </w:p>
    <w:p>
      <w:pPr>
        <w:rPr>
          <w:rFonts w:hint="eastAsia"/>
          <w:sz w:val="24"/>
          <w:szCs w:val="24"/>
          <w:lang w:val="en-US" w:eastAsia="zh-CN"/>
        </w:rPr>
      </w:pPr>
    </w:p>
    <w:p>
      <w:pPr>
        <w:keepNext w:val="0"/>
        <w:keepLines w:val="0"/>
        <w:pageBreakBefore w:val="0"/>
        <w:kinsoku/>
        <w:wordWrap/>
        <w:overflowPunct/>
        <w:topLinePunct w:val="0"/>
        <w:autoSpaceDE/>
        <w:autoSpaceDN/>
        <w:bidi w:val="0"/>
        <w:adjustRightInd/>
        <w:snapToGrid/>
        <w:spacing w:line="288" w:lineRule="auto"/>
        <w:ind w:firstLine="420"/>
        <w:textAlignment w:val="auto"/>
        <w:rPr>
          <w:rFonts w:hint="default" w:ascii="Calibri" w:hAnsi="Calibri" w:cs="Calibri"/>
          <w:b/>
          <w:bCs/>
          <w:sz w:val="24"/>
          <w:szCs w:val="24"/>
          <w:lang w:val="en-US" w:eastAsia="zh-CN"/>
        </w:rPr>
      </w:pPr>
      <w:r>
        <w:rPr>
          <w:rFonts w:hint="default" w:ascii="Calibri" w:hAnsi="Calibri" w:cs="Calibri"/>
          <w:b/>
          <w:bCs/>
          <w:sz w:val="24"/>
          <w:szCs w:val="24"/>
          <w:lang w:val="en-US" w:eastAsia="zh-CN"/>
        </w:rPr>
        <w:t>4.1  Solid Oxide Direct Carbon Fuel Cell</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Solid oxide direct carbon fuel cell (SO-DCFC) has attracted more and more attention due to its unique advantages in the clean coal utilization. The carbon direct electrochemical reaction will not take place when the carbon and anode are just physical contact; the gasification between carbon and CO2 is the rate determine step of SO-DCFC Performance.</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Different from conventional fuel cells, direct carbon fuel cells use solid carbon as fuel and directly convert the chemical energy into electric energy. Their unique advantages lie in their higher theoretical efficiency, which is close to 100% at 1,000 ℃. Reactants and products exist in solid and gas phases respectively, and the fuel efficiency can reach 100% when the theoretical voltage is constant. Solid carbon fuel has small volume, high calorific value, convenient transportation and storage. Carbon fuel is directly converted into carbon dioxide, with a single path, which is beneficial to the enrichment and emission reduction of carbon dioxide.</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At present, the power density of so-dcfc is relatively low and the performance gap between the gas-fueled sofcs is relatively large, which has become the key to restrict the application of so-dcfc technology. Therefore, from (electrical) chemical reactions to the battery material</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It is particularly important to further improve the battery performance. However, the introduction of carbon fuel for catalytic gasification and inhibition of anode CO carbon deposit can significantly improve the battery performance, which is an important direction for the improvement of so-dcfc technology in the future.</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88" w:lineRule="auto"/>
        <w:ind w:firstLine="560" w:firstLineChars="200"/>
        <w:jc w:val="left"/>
        <w:textAlignment w:val="auto"/>
        <w:rPr>
          <w:rFonts w:hint="default" w:ascii="Calibri" w:hAnsi="Calibri" w:eastAsia="TimesNewRomanPSMT" w:cs="Calibri"/>
          <w:b/>
          <w:bCs/>
          <w:color w:val="000000"/>
          <w:kern w:val="0"/>
          <w:sz w:val="28"/>
          <w:szCs w:val="28"/>
          <w:lang w:val="en-US" w:eastAsia="zh-CN" w:bidi="ar"/>
        </w:rPr>
      </w:pPr>
      <w:r>
        <w:rPr>
          <w:rFonts w:hint="default" w:ascii="Calibri" w:hAnsi="Calibri" w:eastAsia="TimesNewRomanPSMT" w:cs="Calibri"/>
          <w:b/>
          <w:bCs/>
          <w:color w:val="000000"/>
          <w:kern w:val="0"/>
          <w:sz w:val="28"/>
          <w:szCs w:val="28"/>
          <w:lang w:val="en-US" w:eastAsia="zh-CN" w:bidi="ar"/>
        </w:rPr>
        <w:t>4.2   Improve the catalyst activity</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Calibri" w:hAnsi="Calibri" w:eastAsia="TimesNewRomanPSMT" w:cs="Calibri"/>
          <w:color w:val="000000"/>
          <w:kern w:val="0"/>
          <w:sz w:val="24"/>
          <w:szCs w:val="24"/>
          <w:lang w:val="en-US" w:eastAsia="zh-CN" w:bidi="ar"/>
        </w:rPr>
      </w:pPr>
      <w:r>
        <w:rPr>
          <w:rFonts w:hint="default" w:ascii="Calibri" w:hAnsi="Calibri" w:eastAsia="TimesNewRomanPSMT" w:cs="Calibri"/>
          <w:color w:val="000000"/>
          <w:kern w:val="0"/>
          <w:sz w:val="24"/>
          <w:szCs w:val="24"/>
          <w:lang w:val="en-US" w:eastAsia="zh-CN" w:bidi="ar"/>
        </w:rPr>
        <w:t xml:space="preserve">4.2.1  </w:t>
      </w:r>
      <w:r>
        <w:rPr>
          <w:rFonts w:hint="default" w:ascii="Calibri" w:hAnsi="Calibri" w:eastAsia="TimesNewRomanPSMT" w:cs="Calibri"/>
          <w:color w:val="000000"/>
          <w:kern w:val="0"/>
          <w:sz w:val="24"/>
          <w:szCs w:val="24"/>
          <w:lang w:val="en-US" w:eastAsia="zh-CN" w:bidi="ar"/>
        </w:rPr>
        <w:fldChar w:fldCharType="begin"/>
      </w:r>
      <w:r>
        <w:rPr>
          <w:rFonts w:hint="default" w:ascii="Calibri" w:hAnsi="Calibri" w:eastAsia="TimesNewRomanPSMT" w:cs="Calibri"/>
          <w:color w:val="000000"/>
          <w:kern w:val="0"/>
          <w:sz w:val="24"/>
          <w:szCs w:val="24"/>
          <w:lang w:val="en-US" w:eastAsia="zh-CN" w:bidi="ar"/>
        </w:rPr>
        <w:instrText xml:space="preserve"> HYPERLINK "http://www.researchgate.net/publication/234915497_improved_electrocatalytic_oxygen_reduction_performance_of_platinum_ternary_alloyoxide_in_solidpolymerelectrolyte_fuel_cells" \t "http://xueshu.baidu.com/usercenter/paper/_blank" </w:instrText>
      </w:r>
      <w:r>
        <w:rPr>
          <w:rFonts w:hint="default" w:ascii="Calibri" w:hAnsi="Calibri" w:eastAsia="TimesNewRomanPSMT" w:cs="Calibri"/>
          <w:color w:val="000000"/>
          <w:kern w:val="0"/>
          <w:sz w:val="24"/>
          <w:szCs w:val="24"/>
          <w:lang w:val="en-US" w:eastAsia="zh-CN" w:bidi="ar"/>
        </w:rPr>
        <w:fldChar w:fldCharType="separate"/>
      </w:r>
      <w:r>
        <w:rPr>
          <w:rFonts w:hint="default" w:ascii="Calibri" w:hAnsi="Calibri" w:eastAsia="TimesNewRomanPSMT" w:cs="Calibri"/>
          <w:color w:val="000000"/>
          <w:kern w:val="0"/>
          <w:sz w:val="24"/>
          <w:szCs w:val="24"/>
          <w:lang w:val="en-US" w:eastAsia="zh-CN" w:bidi="ar"/>
        </w:rPr>
        <w:t>Improving Electrocatalytic Oxygen Reduction Performance of Platinum Ternary Alloy-Oxide in Solid-Polymer-Electrolyte Fuel Cells</w:t>
      </w:r>
      <w:r>
        <w:rPr>
          <w:rFonts w:hint="default" w:ascii="Calibri" w:hAnsi="Calibri" w:eastAsia="TimesNewRomanPSMT" w:cs="Calibri"/>
          <w:color w:val="000000"/>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Researchers have investigated the effect of base metal oxide (nonnoble metal oxide) in a Pt-Cr-Cu alloy catalyst for the oxygen reduction reaction in a solid-polymer-electrolyte fuel cell. The cathode mass activities is 0.9 V for Pt, Pt-Cr alloy, Pt-Cr-Cu alloy, and a mixture of Pt-Cr-Cu alloy with base metal oxide are compared. The enhancement factor is largest (about 6 times) for the mixture of Pt-Cr-Cu alloy with base metal oxide, compared to Pt-Cr and Pt-Cr-Cu alloys (about 2 times). The higher electrocatalytics activity of this material may be due to the combined effects of the Pt-Cr-Cu alloy and the base metal oxide. The physical and electrochemical characterizations are carried out using various techniques like x-ray diffraction, transmission electron microscopy, cyclic voltammetry, polarization, and ac impedance.</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Calibri" w:hAnsi="Calibri" w:eastAsia="TimesNewRomanPSMT" w:cs="Calibri"/>
          <w:color w:val="000000"/>
          <w:kern w:val="0"/>
          <w:sz w:val="24"/>
          <w:szCs w:val="24"/>
          <w:lang w:val="en-US" w:eastAsia="zh-CN" w:bidi="ar"/>
        </w:rPr>
      </w:pPr>
      <w:r>
        <w:rPr>
          <w:rFonts w:hint="default" w:ascii="Calibri" w:hAnsi="Calibri" w:eastAsia="TimesNewRomanPSMT" w:cs="Calibri"/>
          <w:color w:val="000000"/>
          <w:kern w:val="0"/>
          <w:sz w:val="24"/>
          <w:szCs w:val="24"/>
          <w:lang w:val="en-US" w:eastAsia="zh-CN" w:bidi="ar"/>
        </w:rPr>
        <w:t xml:space="preserve">4.2.2 </w:t>
      </w:r>
      <w:r>
        <w:rPr>
          <w:rFonts w:hint="default" w:ascii="Calibri" w:hAnsi="Calibri" w:eastAsia="TimesNewRomanPSMT" w:cs="Calibri"/>
          <w:color w:val="000000"/>
          <w:kern w:val="0"/>
          <w:sz w:val="24"/>
          <w:szCs w:val="24"/>
          <w:lang w:val="en-US" w:eastAsia="zh-CN" w:bidi="ar"/>
        </w:rPr>
        <w:t xml:space="preserve"> The electrocatalyst for PEMFC</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The electrocatalytic activity was affected by the particle size and surface functional group. The performance of membrane electrode assembly has a direct bearing on its preparation technique. The analysis results show that it is important to obtain a high catalyst utilization during the commercialization process of the PEMEC technology. To achieve high utilization of the previous metal catalysts, we can obtain the highest possible surface to volume ratio of the dispersed metal, which id interrelated with particle size of precious metal and the fabrication technique of membrane electrode assembly.</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88" w:lineRule="auto"/>
        <w:ind w:firstLine="560" w:firstLineChars="200"/>
        <w:jc w:val="left"/>
        <w:textAlignment w:val="auto"/>
        <w:rPr>
          <w:rFonts w:hint="default" w:ascii="Calibri" w:hAnsi="Calibri" w:eastAsia="TimesNewRomanPSMT" w:cs="Calibri"/>
          <w:b/>
          <w:bCs/>
          <w:color w:val="000000"/>
          <w:kern w:val="0"/>
          <w:sz w:val="28"/>
          <w:szCs w:val="28"/>
          <w:lang w:val="en-US" w:eastAsia="zh-CN" w:bidi="ar"/>
        </w:rPr>
      </w:pPr>
      <w:r>
        <w:rPr>
          <w:rFonts w:hint="default" w:ascii="Calibri" w:hAnsi="Calibri" w:eastAsia="TimesNewRomanPSMT" w:cs="Calibri"/>
          <w:b/>
          <w:bCs/>
          <w:color w:val="000000"/>
          <w:kern w:val="0"/>
          <w:sz w:val="28"/>
          <w:szCs w:val="28"/>
          <w:lang w:val="en-US" w:eastAsia="zh-CN" w:bidi="ar"/>
        </w:rPr>
        <w:t xml:space="preserve">4.3  Better Membrane </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Membrane materials of PEMFC should have low gas permeability, high proton conductivity, good chemical and electrochemical stability, good bonding property between membrane and catalyst, certain mechanical stren.gth and appropriate cost performance. The main methods include lowering the price, improving mechanical strength, stability and electrochemical properties, improving proton conductivity and developing high-temperature polymer films.</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88" w:lineRule="auto"/>
        <w:ind w:firstLine="560" w:firstLineChars="200"/>
        <w:jc w:val="left"/>
        <w:textAlignment w:val="auto"/>
        <w:rPr>
          <w:rFonts w:hint="default" w:ascii="Calibri" w:hAnsi="Calibri" w:eastAsia="TimesNewRomanPSMT" w:cs="Calibri"/>
          <w:b/>
          <w:bCs/>
          <w:color w:val="000000"/>
          <w:kern w:val="0"/>
          <w:sz w:val="28"/>
          <w:szCs w:val="28"/>
          <w:lang w:val="en-US" w:eastAsia="zh-CN" w:bidi="ar"/>
        </w:rPr>
      </w:pPr>
      <w:r>
        <w:rPr>
          <w:rFonts w:hint="default" w:ascii="Calibri" w:hAnsi="Calibri" w:eastAsia="TimesNewRomanPSMT" w:cs="Calibri"/>
          <w:b/>
          <w:bCs/>
          <w:color w:val="000000"/>
          <w:kern w:val="0"/>
          <w:sz w:val="28"/>
          <w:szCs w:val="28"/>
          <w:lang w:val="en-US" w:eastAsia="zh-CN" w:bidi="ar"/>
        </w:rPr>
        <w:t>4.4  Water/heat management system</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Whether as a fixed power source or a power supply system, hydrothermal management is a key technical problem that affects the performance and life of fuel cells.The hydrothermal management system in PEMFC should have four channels simultaneously: electron transport channel, gas diffusion channel, proton transport channel and water transport channel. Maintaining water balance is a key technology to improve battery performance and life.</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Specifically :(1) optimized design of membrane electrode and battery structure; (2) adjust gas temperature, current density and other parameters during battery operation; (3) select appropriate proton exchange membrane and carbon cloth diffusion layer.</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The thermal management of PEMFC refers to the control of the working temperature of the battery. Since the working temperature is 80 ~ 100℃, the reaction gas generally enters the battery after preheating and humidification. In addition, more than 40% of the energy generated by the PEMFC is discharged as heat, so the battery needs to be cooled.</w:t>
      </w:r>
    </w:p>
    <w:p>
      <w:pPr>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200"/>
        <w:jc w:val="left"/>
        <w:textAlignment w:val="auto"/>
        <w:rPr>
          <w:rFonts w:hint="default" w:ascii="Calibri" w:hAnsi="Calibri" w:eastAsia="TimesNewRomanPSMT" w:cs="Calibri"/>
          <w:color w:val="000000"/>
          <w:kern w:val="0"/>
          <w:sz w:val="21"/>
          <w:szCs w:val="21"/>
          <w:lang w:val="en-US" w:eastAsia="zh-CN" w:bidi="ar"/>
        </w:rPr>
      </w:pPr>
      <w:r>
        <w:rPr>
          <w:rFonts w:hint="default" w:ascii="Calibri" w:hAnsi="Calibri" w:eastAsia="TimesNewRomanPSMT" w:cs="Calibri"/>
          <w:color w:val="000000"/>
          <w:kern w:val="0"/>
          <w:sz w:val="21"/>
          <w:szCs w:val="21"/>
          <w:lang w:val="en-US" w:eastAsia="zh-CN" w:bidi="ar"/>
        </w:rPr>
        <w:t>When the current density is low, the air cooling mode is adopted. Water cooling should be used for high power density. The proper thermal management system should not only ensure the normal operating temperature of the battery, but also ensure a reasonable temperature distribution</w:t>
      </w:r>
      <w:r>
        <w:rPr>
          <w:rFonts w:hint="eastAsia" w:ascii="Calibri" w:hAnsi="Calibri" w:eastAsia="TimesNewRomanPSMT" w:cs="Calibri"/>
          <w:color w:val="000000"/>
          <w:kern w:val="0"/>
          <w:sz w:val="21"/>
          <w:szCs w:val="21"/>
          <w:lang w:val="en-US" w:eastAsia="zh-CN" w:bidi="ar"/>
        </w:rPr>
        <w:t>.</w:t>
      </w:r>
    </w:p>
    <w:p>
      <w:pPr>
        <w:keepNext w:val="0"/>
        <w:keepLines w:val="0"/>
        <w:widowControl/>
        <w:suppressLineNumbers w:val="0"/>
        <w:ind w:firstLine="360" w:firstLineChars="200"/>
        <w:jc w:val="left"/>
        <w:rPr>
          <w:rFonts w:hint="default" w:ascii="TimesNewRomanPSMT" w:hAnsi="TimesNewRomanPSMT" w:eastAsia="TimesNewRomanPSMT" w:cs="TimesNewRomanPSMT"/>
          <w:color w:val="000000"/>
          <w:kern w:val="0"/>
          <w:sz w:val="18"/>
          <w:szCs w:val="18"/>
          <w:lang w:val="en-US" w:eastAsia="zh-CN" w:bidi="ar"/>
        </w:rPr>
      </w:pPr>
      <w:r>
        <w:rPr>
          <w:rFonts w:hint="eastAsia" w:ascii="TimesNewRomanPSMT" w:hAnsi="TimesNewRomanPSMT" w:eastAsia="TimesNewRomanPSMT" w:cs="TimesNewRomanPSMT"/>
          <w:color w:val="000000"/>
          <w:kern w:val="0"/>
          <w:sz w:val="18"/>
          <w:szCs w:val="18"/>
          <w:lang w:val="en-US" w:eastAsia="zh-CN" w:bidi="ar"/>
        </w:rPr>
        <w:t xml:space="preserve"> </w:t>
      </w:r>
    </w:p>
    <w:p>
      <w:pPr>
        <w:keepNext w:val="0"/>
        <w:keepLines w:val="0"/>
        <w:widowControl/>
        <w:suppressLineNumbers w:val="0"/>
        <w:ind w:firstLine="360" w:firstLineChars="200"/>
        <w:jc w:val="left"/>
        <w:rPr>
          <w:rFonts w:hint="default" w:ascii="TimesNewRomanPSMT" w:hAnsi="TimesNewRomanPSMT" w:eastAsia="TimesNewRomanPSMT" w:cs="TimesNewRomanPSMT"/>
          <w:color w:val="000000"/>
          <w:kern w:val="0"/>
          <w:sz w:val="18"/>
          <w:szCs w:val="18"/>
          <w:lang w:val="en-US" w:eastAsia="zh-CN" w:bidi="ar"/>
        </w:rPr>
      </w:pPr>
    </w:p>
    <w:p>
      <w:pPr>
        <w:keepNext w:val="0"/>
        <w:keepLines w:val="0"/>
        <w:widowControl/>
        <w:suppressLineNumbers w:val="0"/>
        <w:jc w:val="left"/>
        <w:rPr>
          <w:rFonts w:hint="default" w:ascii="TimesNewRomanPSMT" w:hAnsi="TimesNewRomanPSMT" w:eastAsia="TimesNewRomanPSMT" w:cs="TimesNewRomanPSMT"/>
          <w:color w:val="000000"/>
          <w:kern w:val="0"/>
          <w:sz w:val="18"/>
          <w:szCs w:val="18"/>
          <w:lang w:val="en-US" w:eastAsia="zh-CN" w:bidi="ar"/>
        </w:rPr>
      </w:pPr>
    </w:p>
    <w:p>
      <w:pPr>
        <w:keepNext w:val="0"/>
        <w:keepLines w:val="0"/>
        <w:widowControl/>
        <w:suppressLineNumbers w:val="0"/>
        <w:jc w:val="left"/>
        <w:rPr>
          <w:rFonts w:hint="eastAsia" w:ascii="TimesNewRomanPSMT" w:hAnsi="TimesNewRomanPSMT" w:eastAsia="TimesNewRomanPSMT" w:cs="TimesNewRomanPSMT"/>
          <w:color w:val="000000"/>
          <w:kern w:val="0"/>
          <w:sz w:val="18"/>
          <w:szCs w:val="18"/>
          <w:lang w:val="en-US" w:eastAsia="zh-CN" w:bidi="ar"/>
        </w:rPr>
      </w:pPr>
      <w:r>
        <w:rPr>
          <w:rFonts w:hint="eastAsia" w:ascii="TimesNewRomanPSMT" w:hAnsi="TimesNewRomanPSMT" w:eastAsia="TimesNewRomanPSMT" w:cs="TimesNewRomanPSMT"/>
          <w:color w:val="000000"/>
          <w:kern w:val="0"/>
          <w:sz w:val="18"/>
          <w:szCs w:val="18"/>
          <w:lang w:val="en-US" w:eastAsia="zh-CN" w:bidi="ar"/>
        </w:rPr>
        <w:t>参考文献:</w:t>
      </w:r>
    </w:p>
    <w:p>
      <w:pPr>
        <w:keepNext w:val="0"/>
        <w:keepLines w:val="0"/>
        <w:widowControl/>
        <w:suppressLineNumbers w:val="0"/>
        <w:jc w:val="left"/>
        <w:rPr>
          <w:rFonts w:hint="eastAsia" w:ascii="楷体" w:hAnsi="楷体" w:eastAsia="楷体" w:cs="楷体"/>
          <w:sz w:val="21"/>
          <w:szCs w:val="21"/>
        </w:rPr>
      </w:pPr>
      <w:r>
        <w:rPr>
          <w:rFonts w:hint="eastAsia" w:ascii="楷体" w:hAnsi="楷体" w:eastAsia="楷体" w:cs="楷体"/>
          <w:color w:val="000000"/>
          <w:kern w:val="0"/>
          <w:sz w:val="21"/>
          <w:szCs w:val="21"/>
          <w:lang w:val="en-US" w:eastAsia="zh-CN" w:bidi="ar"/>
        </w:rPr>
        <w:t>[1]</w:t>
      </w:r>
      <w:r>
        <w:rPr>
          <w:rFonts w:hint="eastAsia" w:ascii="楷体" w:hAnsi="楷体" w:eastAsia="楷体" w:cs="楷体"/>
          <w:kern w:val="0"/>
          <w:sz w:val="21"/>
          <w:szCs w:val="21"/>
          <w:lang w:val="en-US" w:eastAsia="zh-CN" w:bidi="ar"/>
        </w:rPr>
        <w:t>蔡宁生, 李晨, 史翊翔, et al. 一种提高固体氧化物直接碳燃料电池性能的方法[J]. 中国电机工程学报.</w:t>
      </w:r>
    </w:p>
    <w:p>
      <w:pPr>
        <w:keepNext w:val="0"/>
        <w:keepLines w:val="0"/>
        <w:widowControl/>
        <w:suppressLineNumbers w:val="0"/>
        <w:jc w:val="left"/>
        <w:rPr>
          <w:rFonts w:hint="eastAsia" w:ascii="楷体" w:hAnsi="楷体" w:eastAsia="楷体" w:cs="楷体"/>
          <w:color w:val="000000"/>
          <w:kern w:val="0"/>
          <w:sz w:val="21"/>
          <w:szCs w:val="21"/>
          <w:lang w:val="en-US" w:eastAsia="zh-CN" w:bidi="ar"/>
        </w:rPr>
      </w:pPr>
      <w:r>
        <w:rPr>
          <w:rFonts w:hint="eastAsia" w:ascii="楷体" w:hAnsi="楷体" w:eastAsia="楷体" w:cs="楷体"/>
          <w:kern w:val="0"/>
          <w:sz w:val="21"/>
          <w:szCs w:val="21"/>
          <w:lang w:val="en-US" w:eastAsia="zh-CN" w:bidi="ar"/>
        </w:rPr>
        <w:t>[2]Tamizhmani, G. Improved Electrocatalytic Oxygen Reduction Performance of Platinum Ternary Alloy-Oxide in Solid-Polymer-Electrolyte Fuel Cells[J]. Journal of The Electrochemical Society, 1994, 141(4):968.</w:t>
      </w:r>
    </w:p>
    <w:p>
      <w:pPr>
        <w:keepNext w:val="0"/>
        <w:keepLines w:val="0"/>
        <w:widowControl/>
        <w:suppressLineNumbers w:val="0"/>
        <w:jc w:val="left"/>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[3]马紫峰,黄碧纯,石玉美.质子交换膜燃料电池电催化剂研究及膜电极制备技术[J].电源技术,1999(02):43-47.</w:t>
      </w:r>
    </w:p>
    <w:p>
      <w:pPr>
        <w:keepNext w:val="0"/>
        <w:keepLines w:val="0"/>
        <w:widowControl/>
        <w:suppressLineNumbers w:val="0"/>
        <w:jc w:val="left"/>
        <w:rPr>
          <w:rFonts w:hint="eastAsia" w:ascii="楷体" w:hAnsi="楷体" w:eastAsia="楷体" w:cs="楷体"/>
          <w:sz w:val="21"/>
          <w:szCs w:val="21"/>
        </w:rPr>
      </w:pPr>
      <w:r>
        <w:rPr>
          <w:rFonts w:hint="eastAsia" w:ascii="楷体" w:hAnsi="楷体" w:eastAsia="楷体" w:cs="楷体"/>
          <w:color w:val="000000"/>
          <w:kern w:val="0"/>
          <w:sz w:val="21"/>
          <w:szCs w:val="21"/>
          <w:lang w:val="en-US" w:eastAsia="zh-CN" w:bidi="ar"/>
        </w:rPr>
        <w:t xml:space="preserve">[4] Suzuki T, Funahashi Y, Yamaguchi T, et al. Design and Fabrication of Lightweight, Submillimeter Tubular Solid Oxide Fuel </w:t>
      </w:r>
    </w:p>
    <w:p>
      <w:pPr>
        <w:keepNext w:val="0"/>
        <w:keepLines w:val="0"/>
        <w:widowControl/>
        <w:suppressLineNumbers w:val="0"/>
        <w:jc w:val="left"/>
        <w:rPr>
          <w:rFonts w:hint="eastAsia" w:ascii="楷体" w:hAnsi="楷体" w:eastAsia="楷体" w:cs="楷体"/>
          <w:sz w:val="21"/>
          <w:szCs w:val="21"/>
        </w:rPr>
      </w:pPr>
      <w:r>
        <w:rPr>
          <w:rFonts w:hint="eastAsia" w:ascii="楷体" w:hAnsi="楷体" w:eastAsia="楷体" w:cs="楷体"/>
          <w:color w:val="000000"/>
          <w:kern w:val="0"/>
          <w:sz w:val="21"/>
          <w:szCs w:val="21"/>
          <w:lang w:val="en-US" w:eastAsia="zh-CN" w:bidi="ar"/>
        </w:rPr>
        <w:t xml:space="preserve">Cells[J]. Electrochemical and Solid-state Letters, 2007, 10(8): A177-A179. </w:t>
      </w:r>
    </w:p>
    <w:p>
      <w:pPr>
        <w:keepNext w:val="0"/>
        <w:keepLines w:val="0"/>
        <w:widowControl/>
        <w:suppressLineNumbers w:val="0"/>
        <w:jc w:val="left"/>
        <w:rPr>
          <w:rFonts w:hint="eastAsia" w:ascii="楷体" w:hAnsi="楷体" w:eastAsia="楷体" w:cs="楷体"/>
          <w:sz w:val="21"/>
          <w:szCs w:val="21"/>
        </w:rPr>
      </w:pPr>
      <w:r>
        <w:rPr>
          <w:rFonts w:hint="eastAsia" w:ascii="楷体" w:hAnsi="楷体" w:eastAsia="楷体" w:cs="楷体"/>
          <w:color w:val="000000"/>
          <w:kern w:val="0"/>
          <w:sz w:val="21"/>
          <w:szCs w:val="21"/>
          <w:lang w:val="en-US" w:eastAsia="zh-CN" w:bidi="ar"/>
        </w:rPr>
        <w:t>[5] 张军，李勇辉，徐志斌．质子交换膜燃料电池 CCM 膜电极[J]．电源技术，2008，（9）：573-576．</w:t>
      </w:r>
    </w:p>
    <w:p>
      <w:pPr>
        <w:keepNext w:val="0"/>
        <w:keepLines w:val="0"/>
        <w:widowControl/>
        <w:suppressLineNumbers w:val="0"/>
        <w:jc w:val="left"/>
        <w:rPr>
          <w:rFonts w:hint="default" w:ascii="TimesNewRomanPSMT" w:hAnsi="TimesNewRomanPSMT" w:eastAsia="TimesNewRomanPSMT" w:cs="TimesNewRomanPSMT"/>
          <w:color w:val="000000"/>
          <w:kern w:val="0"/>
          <w:sz w:val="18"/>
          <w:szCs w:val="18"/>
          <w:lang w:val="en-US" w:eastAsia="zh-CN" w:bidi="ar"/>
        </w:rPr>
      </w:pPr>
    </w:p>
    <w:p>
      <w:pPr>
        <w:keepNext w:val="0"/>
        <w:keepLines w:val="0"/>
        <w:widowControl/>
        <w:suppressLineNumbers w:val="0"/>
        <w:ind w:firstLine="360" w:firstLineChars="200"/>
        <w:jc w:val="left"/>
        <w:rPr>
          <w:rFonts w:hint="default" w:ascii="TimesNewRomanPSMT" w:hAnsi="TimesNewRomanPSMT" w:eastAsia="TimesNewRomanPSMT" w:cs="TimesNewRomanPSMT"/>
          <w:color w:val="000000"/>
          <w:kern w:val="0"/>
          <w:sz w:val="18"/>
          <w:szCs w:val="18"/>
          <w:lang w:val="en-US" w:eastAsia="zh-CN" w:bidi="ar"/>
        </w:rPr>
      </w:pPr>
    </w:p>
    <w:p>
      <w:pPr>
        <w:keepNext w:val="0"/>
        <w:keepLines w:val="0"/>
        <w:widowControl/>
        <w:suppressLineNumbers w:val="0"/>
        <w:ind w:firstLine="360" w:firstLineChars="200"/>
        <w:jc w:val="left"/>
        <w:rPr>
          <w:rFonts w:hint="default" w:ascii="TimesNewRomanPSMT" w:hAnsi="TimesNewRomanPSMT" w:eastAsia="TimesNewRomanPSMT" w:cs="TimesNewRomanPSMT"/>
          <w:color w:val="000000"/>
          <w:kern w:val="0"/>
          <w:sz w:val="18"/>
          <w:szCs w:val="18"/>
          <w:lang w:val="en-US" w:eastAsia="zh-CN" w:bidi="ar"/>
        </w:rPr>
      </w:pPr>
      <w:bookmarkStart w:id="0" w:name="_GoBack"/>
      <w:bookmarkEnd w:id="0"/>
    </w:p>
    <w:p>
      <w:pPr>
        <w:ind w:firstLine="42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MT">
    <w:altName w:val="Times New Roman"/>
    <w:panose1 w:val="00000000000000000000"/>
    <w:charset w:val="00"/>
    <w:family w:val="auto"/>
    <w:pitch w:val="default"/>
    <w:sig w:usb0="00000000" w:usb1="00000000" w:usb2="00000000" w:usb3="00000000" w:csb0="00000000" w:csb1="00000000"/>
  </w:font>
  <w:font w:name="B9">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B5">
    <w:altName w:val="AMGDT"/>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微软雅黑 Light">
    <w:panose1 w:val="020B0502040204020203"/>
    <w:charset w:val="86"/>
    <w:family w:val="auto"/>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 w:name="Blackoak Std">
    <w:panose1 w:val="04050907060602020202"/>
    <w:charset w:val="00"/>
    <w:family w:val="auto"/>
    <w:pitch w:val="default"/>
    <w:sig w:usb0="00000003" w:usb1="00000000" w:usb2="00000000" w:usb3="00000000" w:csb0="20000001" w:csb1="00000000"/>
  </w:font>
  <w:font w:name="Book Antiqua">
    <w:panose1 w:val="02040602050305030304"/>
    <w:charset w:val="00"/>
    <w:family w:val="auto"/>
    <w:pitch w:val="default"/>
    <w:sig w:usb0="00000287" w:usb1="00000000" w:usb2="00000000" w:usb3="00000000" w:csb0="2000009F" w:csb1="DFD70000"/>
  </w:font>
  <w:font w:name="Bookman Old Style">
    <w:panose1 w:val="02050604050505020204"/>
    <w:charset w:val="00"/>
    <w:family w:val="auto"/>
    <w:pitch w:val="default"/>
    <w:sig w:usb0="00000287" w:usb1="00000000" w:usb2="00000000" w:usb3="00000000" w:csb0="2000009F" w:csb1="DFD70000"/>
  </w:font>
  <w:font w:name="Bookshelf Symbol 7">
    <w:panose1 w:val="05010101010101010101"/>
    <w:charset w:val="00"/>
    <w:family w:val="auto"/>
    <w:pitch w:val="default"/>
    <w:sig w:usb0="00000000" w:usb1="00000000" w:usb2="00000000" w:usb3="00000000" w:csb0="80000000" w:csb1="00000000"/>
  </w:font>
  <w:font w:name="Broadway">
    <w:panose1 w:val="04040905080B02020502"/>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ndara">
    <w:panose1 w:val="020E0502030303020204"/>
    <w:charset w:val="00"/>
    <w:family w:val="auto"/>
    <w:pitch w:val="default"/>
    <w:sig w:usb0="A00002EF" w:usb1="4000A44B" w:usb2="00000000" w:usb3="00000000" w:csb0="2000019F" w:csb1="00000000"/>
  </w:font>
  <w:font w:name="Cambria Math">
    <w:panose1 w:val="02040503050406030204"/>
    <w:charset w:val="00"/>
    <w:family w:val="auto"/>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方正兰亭超细黑简体">
    <w:panose1 w:val="02000000000000000000"/>
    <w:charset w:val="86"/>
    <w:family w:val="auto"/>
    <w:pitch w:val="default"/>
    <w:sig w:usb0="00000001" w:usb1="08000000" w:usb2="00000000" w:usb3="00000000" w:csb0="00040000" w:csb1="00000000"/>
  </w:font>
  <w:font w:name="新宋体">
    <w:panose1 w:val="02010609030101010101"/>
    <w:charset w:val="86"/>
    <w:family w:val="auto"/>
    <w:pitch w:val="default"/>
    <w:sig w:usb0="00000283" w:usb1="288F0000" w:usb2="00000006" w:usb3="00000000" w:csb0="00040001" w:csb1="00000000"/>
  </w:font>
  <w:font w:name="汉仪长仿宋体">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4E135D"/>
    <w:rsid w:val="1A364F90"/>
    <w:rsid w:val="2CAF0973"/>
    <w:rsid w:val="2F9D463E"/>
    <w:rsid w:val="310B27A7"/>
    <w:rsid w:val="3775623B"/>
    <w:rsid w:val="41460D98"/>
    <w:rsid w:val="4C520877"/>
    <w:rsid w:val="74750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83</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2020-01-07T11:19:10Z</dcterms:created>
  <dc:creator>甘雨果</dc:creator>
  <cp:lastModifiedBy>甘雨果</cp:lastModifiedBy>
  <dcterms:modified xsi:type="dcterms:W3CDTF">2020-01-07T15:17:09Z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