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harts/chart6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C14" w:rsidRDefault="00F26C14" w:rsidP="00D31D50">
      <w:pPr>
        <w:spacing w:line="220" w:lineRule="atLeast"/>
        <w:rPr>
          <w:rFonts w:hint="eastAsia"/>
        </w:rPr>
      </w:pPr>
      <w:r w:rsidRPr="00F26C14">
        <w:drawing>
          <wp:inline distT="0" distB="0" distL="0" distR="0">
            <wp:extent cx="5114925" cy="2562225"/>
            <wp:effectExtent l="19050" t="0" r="9525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F26C14" w:rsidRDefault="00F26C14" w:rsidP="00D31D50">
      <w:pPr>
        <w:spacing w:line="220" w:lineRule="atLeast"/>
        <w:rPr>
          <w:rFonts w:hint="eastAsia"/>
        </w:rPr>
      </w:pPr>
    </w:p>
    <w:p w:rsidR="00F26C14" w:rsidRDefault="00F26C14" w:rsidP="00D31D50">
      <w:pPr>
        <w:spacing w:line="220" w:lineRule="atLeast"/>
        <w:rPr>
          <w:rFonts w:hint="eastAsia"/>
        </w:rPr>
      </w:pPr>
      <w:r w:rsidRPr="00F26C14">
        <w:drawing>
          <wp:inline distT="0" distB="0" distL="0" distR="0">
            <wp:extent cx="5114925" cy="2638425"/>
            <wp:effectExtent l="19050" t="0" r="9525" b="0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F26C14" w:rsidRDefault="00F26C14" w:rsidP="00D31D50">
      <w:pPr>
        <w:spacing w:line="220" w:lineRule="atLeast"/>
        <w:rPr>
          <w:rFonts w:hint="eastAsia"/>
        </w:rPr>
      </w:pPr>
    </w:p>
    <w:p w:rsidR="00F26C14" w:rsidRDefault="00F26C14" w:rsidP="00D31D50">
      <w:pPr>
        <w:spacing w:line="220" w:lineRule="atLeast"/>
        <w:rPr>
          <w:rFonts w:hint="eastAsia"/>
        </w:rPr>
      </w:pPr>
      <w:r w:rsidRPr="00F26C14">
        <w:drawing>
          <wp:inline distT="0" distB="0" distL="0" distR="0">
            <wp:extent cx="5114925" cy="2743200"/>
            <wp:effectExtent l="19050" t="0" r="9525" b="0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D57790" w:rsidRDefault="00D57790" w:rsidP="00D31D50">
      <w:pPr>
        <w:spacing w:line="220" w:lineRule="atLeast"/>
        <w:rPr>
          <w:rFonts w:hint="eastAsia"/>
        </w:rPr>
      </w:pPr>
      <w:r w:rsidRPr="00D57790">
        <w:lastRenderedPageBreak/>
        <w:drawing>
          <wp:inline distT="0" distB="0" distL="0" distR="0">
            <wp:extent cx="5124450" cy="2600325"/>
            <wp:effectExtent l="19050" t="0" r="19050" b="0"/>
            <wp:docPr id="6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D57790" w:rsidRDefault="00D57790" w:rsidP="00D31D50">
      <w:pPr>
        <w:spacing w:line="220" w:lineRule="atLeast"/>
        <w:rPr>
          <w:rFonts w:hint="eastAsia"/>
        </w:rPr>
      </w:pPr>
    </w:p>
    <w:p w:rsidR="00F26C14" w:rsidRDefault="00F26C14" w:rsidP="00D31D50">
      <w:pPr>
        <w:spacing w:line="220" w:lineRule="atLeast"/>
        <w:rPr>
          <w:rFonts w:hint="eastAsia"/>
        </w:rPr>
      </w:pPr>
      <w:r w:rsidRPr="00F26C14">
        <w:drawing>
          <wp:inline distT="0" distB="0" distL="0" distR="0">
            <wp:extent cx="5133975" cy="2543175"/>
            <wp:effectExtent l="19050" t="0" r="9525" b="0"/>
            <wp:docPr id="4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F26C14" w:rsidRDefault="00F26C14" w:rsidP="00D31D50">
      <w:pPr>
        <w:spacing w:line="220" w:lineRule="atLeast"/>
        <w:rPr>
          <w:rFonts w:hint="eastAsia"/>
        </w:rPr>
      </w:pPr>
    </w:p>
    <w:p w:rsidR="00F26C14" w:rsidRDefault="00F26C14" w:rsidP="00D31D50">
      <w:pPr>
        <w:spacing w:line="220" w:lineRule="atLeast"/>
        <w:rPr>
          <w:rFonts w:hint="eastAsia"/>
        </w:rPr>
      </w:pPr>
      <w:r w:rsidRPr="00F26C14">
        <w:drawing>
          <wp:inline distT="0" distB="0" distL="0" distR="0">
            <wp:extent cx="5133975" cy="2743200"/>
            <wp:effectExtent l="19050" t="0" r="9525" b="0"/>
            <wp:docPr id="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tbl>
      <w:tblPr>
        <w:tblW w:w="8510" w:type="dxa"/>
        <w:tblInd w:w="103" w:type="dxa"/>
        <w:tblLook w:val="04A0"/>
      </w:tblPr>
      <w:tblGrid>
        <w:gridCol w:w="758"/>
        <w:gridCol w:w="948"/>
        <w:gridCol w:w="1276"/>
        <w:gridCol w:w="1300"/>
        <w:gridCol w:w="1265"/>
        <w:gridCol w:w="979"/>
        <w:gridCol w:w="992"/>
        <w:gridCol w:w="992"/>
      </w:tblGrid>
      <w:tr w:rsidR="008B7DA2" w:rsidRPr="00D57790" w:rsidTr="008B7DA2">
        <w:trPr>
          <w:trHeight w:val="285"/>
        </w:trPr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proofErr w:type="spellStart"/>
            <w:r w:rsidRPr="00D57790">
              <w:rPr>
                <w:rFonts w:eastAsia="宋体" w:cs="Tahoma"/>
                <w:color w:val="000000"/>
              </w:rPr>
              <w:lastRenderedPageBreak/>
              <w:t>Pb</w:t>
            </w:r>
            <w:proofErr w:type="spellEnd"/>
            <w:r w:rsidRPr="00D57790">
              <w:rPr>
                <w:rFonts w:eastAsia="宋体" w:cs="Tahoma"/>
                <w:color w:val="000000"/>
              </w:rPr>
              <w:t>/%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proofErr w:type="spellStart"/>
            <w:r w:rsidRPr="00D57790">
              <w:rPr>
                <w:rFonts w:eastAsia="宋体" w:cs="Tahoma"/>
                <w:color w:val="000000"/>
              </w:rPr>
              <w:t>Gmb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proofErr w:type="spellStart"/>
            <w:r w:rsidRPr="00D57790">
              <w:rPr>
                <w:rFonts w:eastAsia="宋体" w:cs="Tahoma"/>
                <w:color w:val="000000"/>
              </w:rPr>
              <w:t>Gmm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stability/</w:t>
            </w:r>
            <w:proofErr w:type="spellStart"/>
            <w:r w:rsidRPr="00D57790">
              <w:rPr>
                <w:rFonts w:eastAsia="宋体" w:cs="Tahoma"/>
                <w:color w:val="000000"/>
              </w:rPr>
              <w:t>kN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flow,</w:t>
            </w:r>
            <w:r w:rsidRPr="00D57790">
              <w:rPr>
                <w:rFonts w:eastAsia="宋体" w:cs="Tahoma"/>
                <w:color w:val="000000"/>
                <w:sz w:val="16"/>
                <w:szCs w:val="16"/>
              </w:rPr>
              <w:t>0.25mm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VTM/%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VMA/%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VFA/%</w:t>
            </w:r>
          </w:p>
        </w:tc>
      </w:tr>
      <w:tr w:rsidR="008B7DA2" w:rsidRPr="00D57790" w:rsidTr="008B7DA2">
        <w:trPr>
          <w:trHeight w:val="285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3.5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2.367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2.517615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8.2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7.3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8B7DA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5.98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8B7DA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13.9</w:t>
            </w:r>
            <w:r w:rsidR="008B7DA2">
              <w:rPr>
                <w:rFonts w:eastAsia="宋体" w:cs="Tahoma" w:hint="eastAsia"/>
                <w:color w:val="00000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57.07</w:t>
            </w:r>
          </w:p>
        </w:tc>
      </w:tr>
      <w:tr w:rsidR="008B7DA2" w:rsidRPr="00D57790" w:rsidTr="008B7DA2">
        <w:trPr>
          <w:trHeight w:val="285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2.371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2.498762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8.6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9.4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8B7DA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5.11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8B7DA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14.2</w:t>
            </w:r>
            <w:r w:rsidR="008B7DA2">
              <w:rPr>
                <w:rFonts w:eastAsia="宋体" w:cs="Tahoma" w:hint="eastAsia"/>
                <w:color w:val="00000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8B7DA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64.0</w:t>
            </w:r>
            <w:r w:rsidR="008B7DA2">
              <w:rPr>
                <w:rFonts w:eastAsia="宋体" w:cs="Tahoma" w:hint="eastAsia"/>
                <w:color w:val="000000"/>
              </w:rPr>
              <w:t>9</w:t>
            </w:r>
          </w:p>
        </w:tc>
      </w:tr>
      <w:tr w:rsidR="008B7DA2" w:rsidRPr="00D57790" w:rsidTr="008B7DA2">
        <w:trPr>
          <w:trHeight w:val="285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4.5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2.389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2.480189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7.5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11.5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8B7DA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3.6</w:t>
            </w:r>
            <w:r w:rsidR="008B7DA2">
              <w:rPr>
                <w:rFonts w:eastAsia="宋体" w:cs="Tahoma" w:hint="eastAsia"/>
                <w:color w:val="000000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8B7DA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14.0</w:t>
            </w:r>
            <w:r w:rsidR="008B7DA2">
              <w:rPr>
                <w:rFonts w:eastAsia="宋体" w:cs="Tahoma" w:hint="eastAsia"/>
                <w:color w:val="00000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8B7DA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73.80</w:t>
            </w:r>
          </w:p>
        </w:tc>
      </w:tr>
      <w:tr w:rsidR="008B7DA2" w:rsidRPr="00D57790" w:rsidTr="008B7DA2">
        <w:trPr>
          <w:trHeight w:val="285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5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2.41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2.461889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7.2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12.5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8B7DA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2.1</w:t>
            </w:r>
            <w:r w:rsidR="008B7DA2">
              <w:rPr>
                <w:rFonts w:eastAsia="宋体" w:cs="Tahoma" w:hint="eastAsia"/>
                <w:color w:val="00000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8B7DA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13.73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8B7DA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84.65</w:t>
            </w:r>
          </w:p>
        </w:tc>
      </w:tr>
      <w:tr w:rsidR="008B7DA2" w:rsidRPr="00D57790" w:rsidTr="008B7DA2">
        <w:trPr>
          <w:trHeight w:val="285"/>
        </w:trPr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5.5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2.422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2.443858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6.9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D57790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13.2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8B7DA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0.89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8B7DA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13.76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7790" w:rsidRPr="00D57790" w:rsidRDefault="00D57790" w:rsidP="008B7DA2">
            <w:pPr>
              <w:adjustRightInd/>
              <w:snapToGrid/>
              <w:spacing w:after="0"/>
              <w:jc w:val="center"/>
              <w:rPr>
                <w:rFonts w:eastAsia="宋体" w:cs="Tahoma"/>
                <w:color w:val="000000"/>
              </w:rPr>
            </w:pPr>
            <w:r w:rsidRPr="00D57790">
              <w:rPr>
                <w:rFonts w:eastAsia="宋体" w:cs="Tahoma"/>
                <w:color w:val="000000"/>
              </w:rPr>
              <w:t>93.50</w:t>
            </w:r>
          </w:p>
        </w:tc>
      </w:tr>
    </w:tbl>
    <w:p w:rsidR="00D57790" w:rsidRDefault="00D57790" w:rsidP="008B7DA2">
      <w:pPr>
        <w:spacing w:after="0" w:line="400" w:lineRule="atLeast"/>
        <w:rPr>
          <w:rFonts w:hint="eastAsia"/>
        </w:rPr>
      </w:pPr>
    </w:p>
    <w:p w:rsidR="00F26C14" w:rsidRDefault="008B7DA2" w:rsidP="008B7DA2">
      <w:pPr>
        <w:spacing w:after="0" w:line="400" w:lineRule="atLeast"/>
        <w:ind w:firstLine="272"/>
        <w:rPr>
          <w:rFonts w:hint="eastAsia"/>
        </w:rPr>
      </w:pPr>
      <w:r>
        <w:rPr>
          <w:rFonts w:hint="eastAsia"/>
        </w:rPr>
        <w:t xml:space="preserve">VTM=4%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Pb</w:t>
      </w:r>
      <w:proofErr w:type="spellEnd"/>
      <w:r>
        <w:rPr>
          <w:rFonts w:hint="eastAsia"/>
        </w:rPr>
        <w:t>=4.4%</w:t>
      </w:r>
    </w:p>
    <w:p w:rsidR="008B7DA2" w:rsidRDefault="008B7DA2" w:rsidP="008B7DA2">
      <w:pPr>
        <w:spacing w:after="0" w:line="400" w:lineRule="atLeast"/>
        <w:ind w:firstLine="272"/>
        <w:rPr>
          <w:rFonts w:hint="eastAsia"/>
        </w:rPr>
      </w:pPr>
      <w:r>
        <w:rPr>
          <w:rFonts w:hint="eastAsia"/>
        </w:rPr>
        <w:t>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Gmb</w:t>
      </w:r>
      <w:proofErr w:type="spellEnd"/>
      <w:r>
        <w:rPr>
          <w:rFonts w:hint="eastAsia"/>
        </w:rPr>
        <w:t>= 2.385   Stability=7.6kN   Flow=11.3*0.25mm  VMA= 14.07%  VFA=72%</w:t>
      </w:r>
    </w:p>
    <w:p w:rsidR="008B7DA2" w:rsidRDefault="008B7DA2" w:rsidP="008B7DA2">
      <w:pPr>
        <w:spacing w:after="0" w:line="400" w:lineRule="atLeast"/>
        <w:ind w:firstLine="272"/>
        <w:rPr>
          <w:rFonts w:hint="eastAsia"/>
        </w:rPr>
      </w:pPr>
      <w:r>
        <w:rPr>
          <w:rFonts w:hint="eastAsia"/>
        </w:rPr>
        <w:t>∵</w:t>
      </w:r>
      <w:r>
        <w:rPr>
          <w:rFonts w:hint="eastAsia"/>
        </w:rPr>
        <w:t xml:space="preserve"> Stability=7.6</w:t>
      </w:r>
      <w:r>
        <w:rPr>
          <w:rFonts w:hint="eastAsia"/>
        </w:rPr>
        <w:t>＜</w:t>
      </w:r>
      <w:r>
        <w:rPr>
          <w:rFonts w:hint="eastAsia"/>
        </w:rPr>
        <w:t>8.01kN</w:t>
      </w:r>
    </w:p>
    <w:p w:rsidR="008B7DA2" w:rsidRDefault="008B7DA2" w:rsidP="008B7DA2">
      <w:pPr>
        <w:spacing w:after="0" w:line="400" w:lineRule="atLeast"/>
        <w:ind w:firstLine="272"/>
        <w:rPr>
          <w:rFonts w:hint="eastAsia"/>
        </w:rPr>
      </w:pPr>
      <w:r>
        <w:rPr>
          <w:rFonts w:hint="eastAsia"/>
        </w:rPr>
        <w:t>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Pb</w:t>
      </w:r>
      <w:proofErr w:type="spellEnd"/>
      <w:r>
        <w:rPr>
          <w:rFonts w:hint="eastAsia"/>
        </w:rPr>
        <w:t>=4.4%</w:t>
      </w:r>
      <w:r>
        <w:rPr>
          <w:rFonts w:hint="eastAsia"/>
        </w:rPr>
        <w:t>→</w:t>
      </w:r>
      <w:r>
        <w:rPr>
          <w:rFonts w:hint="eastAsia"/>
        </w:rPr>
        <w:t>4.2%</w:t>
      </w:r>
    </w:p>
    <w:p w:rsidR="008B7DA2" w:rsidRDefault="008B7DA2" w:rsidP="008B7DA2">
      <w:pPr>
        <w:spacing w:after="0" w:line="400" w:lineRule="atLeast"/>
        <w:ind w:firstLine="272"/>
        <w:rPr>
          <w:rFonts w:hint="eastAsia"/>
        </w:rPr>
      </w:pPr>
      <w:r>
        <w:rPr>
          <w:rFonts w:hint="eastAsia"/>
        </w:rPr>
        <w:t>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Gmb</w:t>
      </w:r>
      <w:proofErr w:type="spellEnd"/>
      <w:r>
        <w:rPr>
          <w:rFonts w:hint="eastAsia"/>
        </w:rPr>
        <w:t>= 2.375   Stability=8.4kN   Flow=10.2*0.25mm  VMA= 14.2%  VFA=67%</w:t>
      </w:r>
    </w:p>
    <w:p w:rsidR="00F26C14" w:rsidRDefault="00F26C14" w:rsidP="00D31D50">
      <w:pPr>
        <w:spacing w:line="220" w:lineRule="atLeast"/>
      </w:pPr>
    </w:p>
    <w:sectPr w:rsidR="00F26C14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8B7726"/>
    <w:rsid w:val="008B7DA2"/>
    <w:rsid w:val="00D31D50"/>
    <w:rsid w:val="00D57790"/>
    <w:rsid w:val="00E17FFB"/>
    <w:rsid w:val="00F26C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26C14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26C14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27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theme" Target="theme/theme1.xml"/><Relationship Id="rId5" Type="http://schemas.openxmlformats.org/officeDocument/2006/relationships/chart" Target="charts/chart2.xml"/><Relationship Id="rId10" Type="http://schemas.openxmlformats.org/officeDocument/2006/relationships/fontTable" Target="fontTable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F:\&#24352;&#22825;&#37326;\&#22823;&#23398;\&#22823;&#20108;&#19978;&#23398;&#26399;\&#24314;&#31569;&#26448;&#26009;&#33521;\&#20316;&#19994;\&#26368;&#21518;&#19968;&#27425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F:\&#24352;&#22825;&#37326;\&#22823;&#23398;\&#22823;&#20108;&#19978;&#23398;&#26399;\&#24314;&#31569;&#26448;&#26009;&#33521;\&#20316;&#19994;\&#26368;&#21518;&#19968;&#27425;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F:\&#24352;&#22825;&#37326;\&#22823;&#23398;\&#22823;&#20108;&#19978;&#23398;&#26399;\&#24314;&#31569;&#26448;&#26009;&#33521;\&#20316;&#19994;\&#26368;&#21518;&#19968;&#27425;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F:\&#24352;&#22825;&#37326;\&#22823;&#23398;\&#22823;&#20108;&#19978;&#23398;&#26399;\&#24314;&#31569;&#26448;&#26009;&#33521;\&#20316;&#19994;\&#26368;&#21518;&#19968;&#27425;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F:\&#24352;&#22825;&#37326;\&#22823;&#23398;\&#22823;&#20108;&#19978;&#23398;&#26399;\&#24314;&#31569;&#26448;&#26009;&#33521;\&#20316;&#19994;\&#26368;&#21518;&#19968;&#27425;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F:\&#24352;&#22825;&#37326;\&#22823;&#23398;\&#22823;&#20108;&#19978;&#23398;&#26399;\&#24314;&#31569;&#26448;&#26009;&#33521;\&#20316;&#19994;\&#26368;&#21518;&#19968;&#27425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plotArea>
      <c:layout>
        <c:manualLayout>
          <c:layoutTarget val="inner"/>
          <c:xMode val="edge"/>
          <c:yMode val="edge"/>
          <c:x val="0.1403079615048119"/>
          <c:y val="8.8437591134441565E-2"/>
          <c:w val="0.79488648293963249"/>
          <c:h val="0.69836030912802549"/>
        </c:manualLayout>
      </c:layout>
      <c:scatterChart>
        <c:scatterStyle val="smoothMarker"/>
        <c:ser>
          <c:idx val="0"/>
          <c:order val="0"/>
          <c:xVal>
            <c:numRef>
              <c:f>Sheet1!$A$2:$A$6</c:f>
              <c:numCache>
                <c:formatCode>General</c:formatCode>
                <c:ptCount val="5"/>
                <c:pt idx="0">
                  <c:v>3.5</c:v>
                </c:pt>
                <c:pt idx="1">
                  <c:v>4</c:v>
                </c:pt>
                <c:pt idx="2">
                  <c:v>4.5</c:v>
                </c:pt>
                <c:pt idx="3">
                  <c:v>5</c:v>
                </c:pt>
                <c:pt idx="4">
                  <c:v>5.5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2.367</c:v>
                </c:pt>
                <c:pt idx="1">
                  <c:v>2.3709999999999996</c:v>
                </c:pt>
                <c:pt idx="2">
                  <c:v>2.3889999999999998</c:v>
                </c:pt>
                <c:pt idx="3">
                  <c:v>2.4099999999999997</c:v>
                </c:pt>
                <c:pt idx="4">
                  <c:v>2.4219999999999997</c:v>
                </c:pt>
              </c:numCache>
            </c:numRef>
          </c:yVal>
          <c:smooth val="1"/>
        </c:ser>
        <c:axId val="35080832"/>
        <c:axId val="35104256"/>
      </c:scatterChart>
      <c:valAx>
        <c:axId val="35080832"/>
        <c:scaling>
          <c:orientation val="minMax"/>
          <c:max val="6"/>
          <c:min val="3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 altLang="zh-CN"/>
                  <a:t>Asphalt content</a:t>
                </a:r>
                <a:r>
                  <a:rPr lang="en-US" altLang="zh-CN" baseline="0"/>
                  <a:t>/%</a:t>
                </a:r>
                <a:endParaRPr lang="zh-CN" altLang="en-US"/>
              </a:p>
            </c:rich>
          </c:tx>
        </c:title>
        <c:numFmt formatCode="General" sourceLinked="1"/>
        <c:tickLblPos val="nextTo"/>
        <c:crossAx val="35104256"/>
        <c:crosses val="autoZero"/>
        <c:crossBetween val="midCat"/>
        <c:majorUnit val="0.2"/>
      </c:valAx>
      <c:valAx>
        <c:axId val="35104256"/>
        <c:scaling>
          <c:orientation val="minMax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altLang="zh-CN"/>
                  <a:t>Gmb</a:t>
                </a:r>
                <a:endParaRPr lang="zh-CN" altLang="en-US"/>
              </a:p>
            </c:rich>
          </c:tx>
        </c:title>
        <c:numFmt formatCode="General" sourceLinked="1"/>
        <c:tickLblPos val="nextTo"/>
        <c:crossAx val="35080832"/>
        <c:crosses val="autoZero"/>
        <c:crossBetween val="midCat"/>
      </c:valAx>
    </c:plotArea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zh-CN"/>
  <c:chart>
    <c:plotArea>
      <c:layout>
        <c:manualLayout>
          <c:layoutTarget val="inner"/>
          <c:xMode val="edge"/>
          <c:yMode val="edge"/>
          <c:x val="0.11305735517237549"/>
          <c:y val="6.9919072615923034E-2"/>
          <c:w val="0.8104566043168655"/>
          <c:h val="0.76317512394284071"/>
        </c:manualLayout>
      </c:layout>
      <c:scatterChart>
        <c:scatterStyle val="smoothMarker"/>
        <c:ser>
          <c:idx val="0"/>
          <c:order val="0"/>
          <c:xVal>
            <c:numRef>
              <c:f>Sheet1!$A$2:$A$6</c:f>
              <c:numCache>
                <c:formatCode>General</c:formatCode>
                <c:ptCount val="5"/>
                <c:pt idx="0">
                  <c:v>3.5</c:v>
                </c:pt>
                <c:pt idx="1">
                  <c:v>4</c:v>
                </c:pt>
                <c:pt idx="2">
                  <c:v>4.5</c:v>
                </c:pt>
                <c:pt idx="3">
                  <c:v>5</c:v>
                </c:pt>
                <c:pt idx="4">
                  <c:v>5.5</c:v>
                </c:pt>
              </c:numCache>
            </c:numRef>
          </c:xVal>
          <c:yVal>
            <c:numRef>
              <c:f>Sheet1!$D$2:$D$6</c:f>
              <c:numCache>
                <c:formatCode>General</c:formatCode>
                <c:ptCount val="5"/>
                <c:pt idx="0">
                  <c:v>8.2000000000000011</c:v>
                </c:pt>
                <c:pt idx="1">
                  <c:v>8.6</c:v>
                </c:pt>
                <c:pt idx="2">
                  <c:v>7.5</c:v>
                </c:pt>
                <c:pt idx="3">
                  <c:v>7.2</c:v>
                </c:pt>
                <c:pt idx="4">
                  <c:v>6.9</c:v>
                </c:pt>
              </c:numCache>
            </c:numRef>
          </c:yVal>
          <c:smooth val="1"/>
        </c:ser>
        <c:axId val="46170880"/>
        <c:axId val="46172800"/>
      </c:scatterChart>
      <c:valAx>
        <c:axId val="46170880"/>
        <c:scaling>
          <c:orientation val="minMax"/>
          <c:max val="6"/>
          <c:min val="3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 altLang="zh-CN"/>
                  <a:t>Asphalt</a:t>
                </a:r>
                <a:r>
                  <a:rPr lang="en-US" altLang="zh-CN" baseline="0"/>
                  <a:t> content/%</a:t>
                </a:r>
                <a:endParaRPr lang="zh-CN" altLang="en-US"/>
              </a:p>
            </c:rich>
          </c:tx>
        </c:title>
        <c:numFmt formatCode="General" sourceLinked="1"/>
        <c:tickLblPos val="nextTo"/>
        <c:crossAx val="46172800"/>
        <c:crosses val="autoZero"/>
        <c:crossBetween val="midCat"/>
        <c:majorUnit val="0.2"/>
      </c:valAx>
      <c:valAx>
        <c:axId val="46172800"/>
        <c:scaling>
          <c:orientation val="minMax"/>
          <c:max val="9"/>
          <c:min val="6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altLang="zh-CN"/>
                  <a:t>Stability/kN</a:t>
                </a:r>
                <a:endParaRPr lang="zh-CN" altLang="en-US"/>
              </a:p>
            </c:rich>
          </c:tx>
        </c:title>
        <c:numFmt formatCode="General" sourceLinked="1"/>
        <c:tickLblPos val="nextTo"/>
        <c:crossAx val="46170880"/>
        <c:crosses val="autoZero"/>
        <c:crossBetween val="midCat"/>
        <c:majorUnit val="0.5"/>
      </c:valAx>
    </c:plotArea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zh-CN"/>
  <c:chart>
    <c:autoTitleDeleted val="1"/>
    <c:plotArea>
      <c:layout/>
      <c:scatterChart>
        <c:scatterStyle val="smoothMarker"/>
        <c:ser>
          <c:idx val="0"/>
          <c:order val="0"/>
          <c:tx>
            <c:strRef>
              <c:f>Sheet1!$A$2:$A$6</c:f>
              <c:strCache>
                <c:ptCount val="1"/>
                <c:pt idx="0">
                  <c:v>3.5 4 4.5 5 5.5</c:v>
                </c:pt>
              </c:strCache>
            </c:strRef>
          </c:tx>
          <c:xVal>
            <c:numRef>
              <c:f>Sheet1!$A$2:$A$6</c:f>
              <c:numCache>
                <c:formatCode>General</c:formatCode>
                <c:ptCount val="5"/>
                <c:pt idx="0">
                  <c:v>3.5</c:v>
                </c:pt>
                <c:pt idx="1">
                  <c:v>4</c:v>
                </c:pt>
                <c:pt idx="2">
                  <c:v>4.5</c:v>
                </c:pt>
                <c:pt idx="3">
                  <c:v>5</c:v>
                </c:pt>
                <c:pt idx="4">
                  <c:v>5.5</c:v>
                </c:pt>
              </c:numCache>
            </c:numRef>
          </c:xVal>
          <c:yVal>
            <c:numRef>
              <c:f>Sheet1!$E$2:$E$6</c:f>
              <c:numCache>
                <c:formatCode>General</c:formatCode>
                <c:ptCount val="5"/>
                <c:pt idx="0">
                  <c:v>7.3</c:v>
                </c:pt>
                <c:pt idx="1">
                  <c:v>9.4</c:v>
                </c:pt>
                <c:pt idx="2">
                  <c:v>11.5</c:v>
                </c:pt>
                <c:pt idx="3">
                  <c:v>12.5</c:v>
                </c:pt>
                <c:pt idx="4">
                  <c:v>13.2</c:v>
                </c:pt>
              </c:numCache>
            </c:numRef>
          </c:yVal>
          <c:smooth val="1"/>
        </c:ser>
        <c:axId val="51792512"/>
        <c:axId val="51864704"/>
      </c:scatterChart>
      <c:valAx>
        <c:axId val="51792512"/>
        <c:scaling>
          <c:orientation val="minMax"/>
          <c:min val="3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 altLang="zh-CN"/>
                  <a:t>Asphalt</a:t>
                </a:r>
                <a:r>
                  <a:rPr lang="en-US" altLang="zh-CN" baseline="0"/>
                  <a:t> content/%</a:t>
                </a:r>
                <a:endParaRPr lang="zh-CN" altLang="en-US"/>
              </a:p>
            </c:rich>
          </c:tx>
        </c:title>
        <c:numFmt formatCode="General" sourceLinked="1"/>
        <c:tickLblPos val="nextTo"/>
        <c:crossAx val="51864704"/>
        <c:crosses val="autoZero"/>
        <c:crossBetween val="midCat"/>
        <c:majorUnit val="0.2"/>
      </c:valAx>
      <c:valAx>
        <c:axId val="51864704"/>
        <c:scaling>
          <c:orientation val="minMax"/>
          <c:min val="6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altLang="zh-CN"/>
                  <a:t>Flow,0.25mm</a:t>
                </a:r>
                <a:endParaRPr lang="zh-CN" altLang="en-US"/>
              </a:p>
            </c:rich>
          </c:tx>
        </c:title>
        <c:numFmt formatCode="General" sourceLinked="1"/>
        <c:tickLblPos val="nextTo"/>
        <c:crossAx val="51792512"/>
        <c:crosses val="autoZero"/>
        <c:crossBetween val="midCat"/>
        <c:majorUnit val="0.5"/>
      </c:valAx>
    </c:plotArea>
    <c:plotVisOnly val="1"/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zh-CN"/>
  <c:chart>
    <c:plotArea>
      <c:layout/>
      <c:scatterChart>
        <c:scatterStyle val="smoothMarker"/>
        <c:ser>
          <c:idx val="0"/>
          <c:order val="0"/>
          <c:xVal>
            <c:numRef>
              <c:f>Sheet1!$A$2:$A$6</c:f>
              <c:numCache>
                <c:formatCode>General</c:formatCode>
                <c:ptCount val="5"/>
                <c:pt idx="0">
                  <c:v>3.5</c:v>
                </c:pt>
                <c:pt idx="1">
                  <c:v>4</c:v>
                </c:pt>
                <c:pt idx="2">
                  <c:v>4.5</c:v>
                </c:pt>
                <c:pt idx="3">
                  <c:v>5</c:v>
                </c:pt>
                <c:pt idx="4">
                  <c:v>5.5</c:v>
                </c:pt>
              </c:numCache>
            </c:numRef>
          </c:xVal>
          <c:yVal>
            <c:numRef>
              <c:f>Sheet1!$F$2:$F$6</c:f>
              <c:numCache>
                <c:formatCode>General</c:formatCode>
                <c:ptCount val="5"/>
                <c:pt idx="0">
                  <c:v>5.9824593954743062</c:v>
                </c:pt>
                <c:pt idx="1">
                  <c:v>5.1130055607553677</c:v>
                </c:pt>
                <c:pt idx="2">
                  <c:v>3.6766809814825048</c:v>
                </c:pt>
                <c:pt idx="3">
                  <c:v>2.107709812989778</c:v>
                </c:pt>
                <c:pt idx="4">
                  <c:v>0.8944216263832907</c:v>
                </c:pt>
              </c:numCache>
            </c:numRef>
          </c:yVal>
          <c:smooth val="1"/>
        </c:ser>
        <c:axId val="52045312"/>
        <c:axId val="52076544"/>
      </c:scatterChart>
      <c:valAx>
        <c:axId val="52045312"/>
        <c:scaling>
          <c:orientation val="minMax"/>
          <c:min val="3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 altLang="zh-CN"/>
                  <a:t>Asphalt content/%</a:t>
                </a:r>
                <a:endParaRPr lang="zh-CN" altLang="en-US"/>
              </a:p>
            </c:rich>
          </c:tx>
        </c:title>
        <c:numFmt formatCode="General" sourceLinked="1"/>
        <c:tickLblPos val="nextTo"/>
        <c:crossAx val="52076544"/>
        <c:crosses val="autoZero"/>
        <c:crossBetween val="midCat"/>
        <c:majorUnit val="0.2"/>
      </c:valAx>
      <c:valAx>
        <c:axId val="52076544"/>
        <c:scaling>
          <c:orientation val="minMax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altLang="zh-CN"/>
                  <a:t>VTM/%</a:t>
                </a:r>
                <a:endParaRPr lang="zh-CN" altLang="en-US"/>
              </a:p>
            </c:rich>
          </c:tx>
        </c:title>
        <c:numFmt formatCode="General" sourceLinked="1"/>
        <c:tickLblPos val="nextTo"/>
        <c:crossAx val="52045312"/>
        <c:crosses val="autoZero"/>
        <c:crossBetween val="midCat"/>
        <c:majorUnit val="0.5"/>
      </c:valAx>
    </c:plotArea>
    <c:plotVisOnly val="1"/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zh-CN"/>
  <c:chart>
    <c:plotArea>
      <c:layout/>
      <c:scatterChart>
        <c:scatterStyle val="smoothMarker"/>
        <c:ser>
          <c:idx val="0"/>
          <c:order val="0"/>
          <c:xVal>
            <c:numRef>
              <c:f>Sheet1!$A$2:$A$6</c:f>
              <c:numCache>
                <c:formatCode>General</c:formatCode>
                <c:ptCount val="5"/>
                <c:pt idx="0">
                  <c:v>3.5</c:v>
                </c:pt>
                <c:pt idx="1">
                  <c:v>4</c:v>
                </c:pt>
                <c:pt idx="2">
                  <c:v>4.5</c:v>
                </c:pt>
                <c:pt idx="3">
                  <c:v>5</c:v>
                </c:pt>
                <c:pt idx="4">
                  <c:v>5.5</c:v>
                </c:pt>
              </c:numCache>
            </c:numRef>
          </c:xVal>
          <c:yVal>
            <c:numRef>
              <c:f>Sheet1!$G$2:$G$6</c:f>
              <c:numCache>
                <c:formatCode>General</c:formatCode>
                <c:ptCount val="5"/>
                <c:pt idx="0">
                  <c:v>13.935380557648829</c:v>
                </c:pt>
                <c:pt idx="1">
                  <c:v>14.236623963828178</c:v>
                </c:pt>
                <c:pt idx="2">
                  <c:v>14.035606631499622</c:v>
                </c:pt>
                <c:pt idx="3">
                  <c:v>13.733986435568939</c:v>
                </c:pt>
                <c:pt idx="4">
                  <c:v>13.760738507912578</c:v>
                </c:pt>
              </c:numCache>
            </c:numRef>
          </c:yVal>
          <c:smooth val="1"/>
        </c:ser>
        <c:axId val="52522368"/>
        <c:axId val="53780480"/>
      </c:scatterChart>
      <c:valAx>
        <c:axId val="52522368"/>
        <c:scaling>
          <c:orientation val="minMax"/>
          <c:min val="3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 altLang="zh-CN"/>
                  <a:t>Asphalt</a:t>
                </a:r>
                <a:r>
                  <a:rPr lang="en-US" altLang="zh-CN" baseline="0"/>
                  <a:t> content/%</a:t>
                </a:r>
                <a:endParaRPr lang="zh-CN" altLang="en-US"/>
              </a:p>
            </c:rich>
          </c:tx>
        </c:title>
        <c:numFmt formatCode="General" sourceLinked="1"/>
        <c:tickLblPos val="nextTo"/>
        <c:crossAx val="53780480"/>
        <c:crosses val="autoZero"/>
        <c:crossBetween val="midCat"/>
        <c:majorUnit val="0.2"/>
      </c:valAx>
      <c:valAx>
        <c:axId val="53780480"/>
        <c:scaling>
          <c:orientation val="minMax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altLang="zh-CN"/>
                  <a:t>VMA/%</a:t>
                </a:r>
                <a:endParaRPr lang="zh-CN" altLang="en-US"/>
              </a:p>
            </c:rich>
          </c:tx>
        </c:title>
        <c:numFmt formatCode="General" sourceLinked="1"/>
        <c:tickLblPos val="nextTo"/>
        <c:crossAx val="52522368"/>
        <c:crosses val="autoZero"/>
        <c:crossBetween val="midCat"/>
      </c:valAx>
    </c:plotArea>
    <c:plotVisOnly val="1"/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zh-CN"/>
  <c:chart>
    <c:plotArea>
      <c:layout/>
      <c:scatterChart>
        <c:scatterStyle val="smoothMarker"/>
        <c:ser>
          <c:idx val="0"/>
          <c:order val="0"/>
          <c:xVal>
            <c:numRef>
              <c:f>Sheet1!$A$2:$A$6</c:f>
              <c:numCache>
                <c:formatCode>General</c:formatCode>
                <c:ptCount val="5"/>
                <c:pt idx="0">
                  <c:v>3.5</c:v>
                </c:pt>
                <c:pt idx="1">
                  <c:v>4</c:v>
                </c:pt>
                <c:pt idx="2">
                  <c:v>4.5</c:v>
                </c:pt>
                <c:pt idx="3">
                  <c:v>5</c:v>
                </c:pt>
                <c:pt idx="4">
                  <c:v>5.5</c:v>
                </c:pt>
              </c:numCache>
            </c:numRef>
          </c:xVal>
          <c:yVal>
            <c:numRef>
              <c:f>Sheet1!$H$2:$H$6</c:f>
              <c:numCache>
                <c:formatCode>General</c:formatCode>
                <c:ptCount val="5"/>
                <c:pt idx="0">
                  <c:v>57.069996253595953</c:v>
                </c:pt>
                <c:pt idx="1">
                  <c:v>64.085547432127996</c:v>
                </c:pt>
                <c:pt idx="2">
                  <c:v>73.804616515604963</c:v>
                </c:pt>
                <c:pt idx="3">
                  <c:v>84.653328275240398</c:v>
                </c:pt>
                <c:pt idx="4">
                  <c:v>93.500191680344869</c:v>
                </c:pt>
              </c:numCache>
            </c:numRef>
          </c:yVal>
          <c:smooth val="1"/>
        </c:ser>
        <c:axId val="54029312"/>
        <c:axId val="54055680"/>
      </c:scatterChart>
      <c:valAx>
        <c:axId val="54029312"/>
        <c:scaling>
          <c:orientation val="minMax"/>
          <c:min val="3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 altLang="zh-CN"/>
                  <a:t>Asphalt</a:t>
                </a:r>
                <a:r>
                  <a:rPr lang="en-US" altLang="zh-CN" baseline="0"/>
                  <a:t> content?%</a:t>
                </a:r>
                <a:endParaRPr lang="zh-CN" altLang="en-US"/>
              </a:p>
            </c:rich>
          </c:tx>
        </c:title>
        <c:numFmt formatCode="General" sourceLinked="1"/>
        <c:tickLblPos val="nextTo"/>
        <c:crossAx val="54055680"/>
        <c:crosses val="autoZero"/>
        <c:crossBetween val="midCat"/>
        <c:majorUnit val="0.2"/>
      </c:valAx>
      <c:valAx>
        <c:axId val="54055680"/>
        <c:scaling>
          <c:orientation val="minMax"/>
          <c:min val="50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 altLang="zh-CN"/>
                  <a:t>VFA/%</a:t>
                </a:r>
                <a:endParaRPr lang="zh-CN" altLang="en-US"/>
              </a:p>
            </c:rich>
          </c:tx>
        </c:title>
        <c:numFmt formatCode="General" sourceLinked="1"/>
        <c:tickLblPos val="nextTo"/>
        <c:crossAx val="54029312"/>
        <c:crosses val="autoZero"/>
        <c:crossBetween val="midCat"/>
        <c:majorUnit val="5"/>
      </c:valAx>
    </c:plotArea>
    <c:plotVisOnly val="1"/>
  </c:chart>
  <c:externalData r:id="rId1"/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3</cp:revision>
  <dcterms:created xsi:type="dcterms:W3CDTF">2008-09-11T17:20:00Z</dcterms:created>
  <dcterms:modified xsi:type="dcterms:W3CDTF">2019-01-04T11:31:00Z</dcterms:modified>
</cp:coreProperties>
</file>