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Noto Sans CJK SC"/>
          <w:b/>
          <w:i w:val="0"/>
          <w:color w:val="1F4E78"/>
          <w:sz w:val="40"/>
        </w:rPr>
        <w:t>Hub Query 字段说明及 Mapping 需求</w:t>
      </w:r>
    </w:p>
    <w:p>
      <w:pPr>
        <w:spacing w:after="200" w:before="0" w:line="276" w:lineRule="auto"/>
        <w:jc w:val="center"/>
      </w:pPr>
      <w:r>
        <w:rPr>
          <w:rFonts w:ascii="Arial" w:hAnsi="Arial" w:eastAsia="Noto Sans CJK SC"/>
          <w:b w:val="0"/>
          <w:i w:val="0"/>
          <w:color w:val="666666"/>
          <w:sz w:val="21"/>
        </w:rPr>
        <w:t>Customer Master Mapping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19"/>
              </w:rPr>
              <w:t>版本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i w:val="0"/>
                <w:sz w:val="19"/>
              </w:rPr>
              <w:t>Draft v1.0</w:t>
            </w:r>
          </w:p>
        </w:tc>
      </w:tr>
      <w:tr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19"/>
              </w:rPr>
              <w:t>用途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i w:val="0"/>
                <w:sz w:val="19"/>
              </w:rPr>
              <w:t>供业务与 IT 对齐字段口径、数据逻辑及功能要求</w:t>
            </w:r>
          </w:p>
        </w:tc>
      </w:tr>
      <w:tr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19"/>
              </w:rPr>
              <w:t>范围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i w:val="0"/>
                <w:sz w:val="19"/>
              </w:rPr>
              <w:t>本文件仅覆盖当前已确认字段及处理逻辑</w:t>
            </w:r>
          </w:p>
        </w:tc>
      </w:tr>
    </w:tbl>
    <w:p/>
    <w:p>
      <w:pPr>
        <w:pStyle w:val="Heading1"/>
      </w:pPr>
      <w:r>
        <w:t>1. 文档目的</w:t>
      </w:r>
    </w:p>
    <w:p>
      <w:r>
        <w:rPr>
          <w:rFonts w:ascii="Arial" w:hAnsi="Arial" w:eastAsia="Noto Sans CJK SC"/>
          <w:b w:val="0"/>
          <w:i w:val="0"/>
          <w:sz w:val="21"/>
        </w:rPr>
        <w:t>明确 Hub Query 的字段定义、Customer ID 生成规则及跨表 Mapping 逻辑。Hub Query 作为客户主数据映射表，用于连接 TOI、Transaction Data 及后续其他客户数据。</w:t>
      </w:r>
    </w:p>
    <w:p>
      <w:pPr>
        <w:pStyle w:val="Heading1"/>
      </w:pPr>
      <w:r>
        <w:t>2. Hub Query 的业务定位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统一不同数据源中的客户身份。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生成标准 Customer ID，并作为跨表关联的核心键。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为其他数据表补充客户中文全称、中文简称、英文名称、机构代码、统一社会信用代码及 RM 信息。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作为后续客户数据 Mapping 的连接桥梁。</w:t>
      </w:r>
    </w:p>
    <w:p>
      <w:pPr>
        <w:pStyle w:val="Heading1"/>
      </w:pPr>
      <w:r>
        <w:t>3. Customer ID 生成规则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89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391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处理要求</w:t>
            </w:r>
          </w:p>
        </w:tc>
      </w:tr>
      <w:tr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ZGDCB</w:t>
            </w:r>
          </w:p>
        </w:tc>
        <w:tc>
          <w:tcPr>
            <w:tcW w:type="dxa" w:w="28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Customer ID 左侧部分</w:t>
            </w:r>
          </w:p>
        </w:tc>
        <w:tc>
          <w:tcPr>
            <w:tcW w:type="dxa" w:w="39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统一为 3 位；不足 3 位时在左侧补 0。</w:t>
            </w:r>
          </w:p>
        </w:tc>
      </w:tr>
      <w:tr>
        <w:tc>
          <w:tcPr>
            <w:tcW w:type="dxa" w:w="272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ZGDCS</w:t>
            </w:r>
          </w:p>
        </w:tc>
        <w:tc>
          <w:tcPr>
            <w:tcW w:type="dxa" w:w="289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Customer ID 右侧部分</w:t>
            </w:r>
          </w:p>
        </w:tc>
        <w:tc>
          <w:tcPr>
            <w:tcW w:type="dxa" w:w="391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统一为 6 位；不足 6 位时在左侧补 0。</w:t>
            </w:r>
          </w:p>
        </w:tc>
      </w:tr>
      <w:tr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Customer ID（衍生字段）</w:t>
            </w:r>
          </w:p>
        </w:tc>
        <w:tc>
          <w:tcPr>
            <w:tcW w:type="dxa" w:w="28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标准客户编号</w:t>
            </w:r>
          </w:p>
        </w:tc>
        <w:tc>
          <w:tcPr>
            <w:tcW w:type="dxa" w:w="39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将标准化后的 ZGDCB 与 ZGDCS 用短横线“-”连接，格式为 000-000000。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21"/>
              </w:rPr>
              <w:t>生成公式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Customer ID = 3 位 ZGDCB + “-” + 6 位 ZGDCS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示例 1：ZGDCB = 1，ZGDCS = 123 → 001-000123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示例 2：ZGDCB = 12，ZGDCS = 45678 → 012-045678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示例 3：ZGDCB = 123，ZGDCS = 456789 → 123-456789</w:t>
            </w:r>
          </w:p>
        </w:tc>
      </w:tr>
    </w:tbl>
    <w:p/>
    <w:p>
      <w:pPr>
        <w:pStyle w:val="Heading1"/>
      </w:pPr>
      <w:r>
        <w:t>4. 客户名称字段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06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374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使用要求</w:t>
            </w:r>
          </w:p>
        </w:tc>
      </w:tr>
      <w:tr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ZGC2FN</w:t>
            </w:r>
          </w:p>
        </w:tc>
        <w:tc>
          <w:tcPr>
            <w:tcW w:type="dxa" w:w="30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客户中文全称</w:t>
            </w:r>
          </w:p>
        </w:tc>
        <w:tc>
          <w:tcPr>
            <w:tcW w:type="dxa" w:w="37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Customer ID 对应的正式中文名称。</w:t>
            </w:r>
          </w:p>
        </w:tc>
      </w:tr>
      <w:tr>
        <w:tc>
          <w:tcPr>
            <w:tcW w:type="dxa" w:w="272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ZGCSCN</w:t>
            </w:r>
          </w:p>
        </w:tc>
        <w:tc>
          <w:tcPr>
            <w:tcW w:type="dxa" w:w="306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客户英文名称</w:t>
            </w:r>
          </w:p>
        </w:tc>
        <w:tc>
          <w:tcPr>
            <w:tcW w:type="dxa" w:w="374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Customer ID 对应的英文名称。</w:t>
            </w:r>
          </w:p>
        </w:tc>
      </w:tr>
      <w:tr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ZGC2CN</w:t>
            </w:r>
          </w:p>
        </w:tc>
        <w:tc>
          <w:tcPr>
            <w:tcW w:type="dxa" w:w="30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客户中文简称</w:t>
            </w:r>
          </w:p>
        </w:tc>
        <w:tc>
          <w:tcPr>
            <w:tcW w:type="dxa" w:w="37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Customer ID 对应的中文简称。</w:t>
            </w:r>
          </w:p>
        </w:tc>
      </w:tr>
    </w:tbl>
    <w:p/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上述三个名称字段均通过 Customer ID 提供给其他数据表。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名称字段应分别保留，不应互相覆盖或合并。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一个 Customer ID 对应的中文全称、英文名称及中文简称需要在 Mapping 后同时保留。</w:t>
      </w:r>
    </w:p>
    <w:p>
      <w:pPr>
        <w:pStyle w:val="Heading1"/>
      </w:pPr>
      <w:r>
        <w:t>5. 机构识别字段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00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357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处理要求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ZGIDTY</w:t>
            </w:r>
          </w:p>
        </w:tc>
        <w:tc>
          <w:tcPr>
            <w:tcW w:type="dxa" w:w="300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组织机构代码第一部分</w:t>
            </w:r>
          </w:p>
        </w:tc>
        <w:tc>
          <w:tcPr>
            <w:tcW w:type="dxa" w:w="35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与 ZGIDNO 用短横线连接。</w:t>
            </w:r>
          </w:p>
        </w:tc>
      </w:tr>
      <w:tr>
        <w:tc>
          <w:tcPr>
            <w:tcW w:type="dxa" w:w="294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ZGIDNO</w:t>
            </w:r>
          </w:p>
        </w:tc>
        <w:tc>
          <w:tcPr>
            <w:tcW w:type="dxa" w:w="300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组织机构代码第二部分</w:t>
            </w:r>
          </w:p>
        </w:tc>
        <w:tc>
          <w:tcPr>
            <w:tcW w:type="dxa" w:w="357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与 ZGIDTY 用短横线连接。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Organization Code（衍生字段）</w:t>
            </w:r>
          </w:p>
        </w:tc>
        <w:tc>
          <w:tcPr>
            <w:tcW w:type="dxa" w:w="300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机构客户组织机构代码</w:t>
            </w:r>
          </w:p>
        </w:tc>
        <w:tc>
          <w:tcPr>
            <w:tcW w:type="dxa" w:w="35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生成格式：ZGIDTY-ZGIDNO。</w:t>
            </w:r>
          </w:p>
        </w:tc>
      </w:tr>
      <w:tr>
        <w:tc>
          <w:tcPr>
            <w:tcW w:type="dxa" w:w="294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ZUIDNO</w:t>
            </w:r>
          </w:p>
        </w:tc>
        <w:tc>
          <w:tcPr>
            <w:tcW w:type="dxa" w:w="300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统一社会信用代码</w:t>
            </w:r>
          </w:p>
        </w:tc>
        <w:tc>
          <w:tcPr>
            <w:tcW w:type="dxa" w:w="357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保留原始值，作为客户识别和数据 Mapping 的辅助键。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21"/>
              </w:rPr>
              <w:t>组织机构代码规则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Organization Code = ZGIDTY + “-” + ZGIDNO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连接时使用英文短横线“-”。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ZGIDTY 或 ZGIDNO 缺失时，不应生成仅含短横线或不完整的机构代码，应保留为空并标记为数据缺失。</w:t>
            </w:r>
          </w:p>
        </w:tc>
      </w:tr>
    </w:tbl>
    <w:p/>
    <w:p>
      <w:pPr>
        <w:pStyle w:val="Heading1"/>
      </w:pPr>
      <w:r>
        <w:t>6. RM 信息字段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385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ZYRMGR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RM Code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客户对应的 RM 编码。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YHDS50</w:t>
            </w:r>
          </w:p>
        </w:tc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RM Name</w:t>
            </w:r>
          </w:p>
        </w:tc>
        <w:tc>
          <w:tcPr>
            <w:tcW w:type="dxa" w:w="385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客户对应的 RM 姓名。</w:t>
            </w:r>
          </w:p>
        </w:tc>
      </w:tr>
    </w:tbl>
    <w:p/>
    <w:p>
      <w:pPr>
        <w:pStyle w:val="Heading1"/>
      </w:pPr>
      <w:r>
        <w:t>7. 完整字段字典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28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ZGDCB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Customer ID 左侧数字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补足 3 位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ZGDCS</w:t>
            </w:r>
          </w:p>
        </w:tc>
        <w:tc>
          <w:tcPr>
            <w:tcW w:type="dxa" w:w="340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Customer ID 右侧数字</w:t>
            </w:r>
          </w:p>
        </w:tc>
        <w:tc>
          <w:tcPr>
            <w:tcW w:type="dxa" w:w="328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补足 6 位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Customer ID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标准客户编号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ZGDCB-ZGDCS，格式 000-000000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ZGC2FN</w:t>
            </w:r>
          </w:p>
        </w:tc>
        <w:tc>
          <w:tcPr>
            <w:tcW w:type="dxa" w:w="340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客户中文全称</w:t>
            </w:r>
          </w:p>
        </w:tc>
        <w:tc>
          <w:tcPr>
            <w:tcW w:type="dxa" w:w="328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通过 Customer ID 映射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ZGCSCN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客户英文名称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通过 Customer ID 映射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ZGC2CN</w:t>
            </w:r>
          </w:p>
        </w:tc>
        <w:tc>
          <w:tcPr>
            <w:tcW w:type="dxa" w:w="340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客户中文简称</w:t>
            </w:r>
          </w:p>
        </w:tc>
        <w:tc>
          <w:tcPr>
            <w:tcW w:type="dxa" w:w="328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通过 Customer ID 映射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ZGIDTY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组织机构代码第一部分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与 ZGIDNO 连接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ZGIDNO</w:t>
            </w:r>
          </w:p>
        </w:tc>
        <w:tc>
          <w:tcPr>
            <w:tcW w:type="dxa" w:w="340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组织机构代码第二部分</w:t>
            </w:r>
          </w:p>
        </w:tc>
        <w:tc>
          <w:tcPr>
            <w:tcW w:type="dxa" w:w="328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与 ZGIDTY 连接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Organization Code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组织机构代码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ZGIDTY-ZGIDNO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ZUIDNO</w:t>
            </w:r>
          </w:p>
        </w:tc>
        <w:tc>
          <w:tcPr>
            <w:tcW w:type="dxa" w:w="340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统一社会信用代码</w:t>
            </w:r>
          </w:p>
        </w:tc>
        <w:tc>
          <w:tcPr>
            <w:tcW w:type="dxa" w:w="328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保留原值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ZYRMGR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RM Code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保留原值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YHDS50</w:t>
            </w:r>
          </w:p>
        </w:tc>
        <w:tc>
          <w:tcPr>
            <w:tcW w:type="dxa" w:w="340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RM Name</w:t>
            </w:r>
          </w:p>
        </w:tc>
        <w:tc>
          <w:tcPr>
            <w:tcW w:type="dxa" w:w="328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保留原值</w:t>
            </w:r>
          </w:p>
        </w:tc>
      </w:tr>
    </w:tbl>
    <w:p/>
    <w:p>
      <w:pPr>
        <w:pStyle w:val="Heading1"/>
      </w:pPr>
      <w:r>
        <w:t>8. 跨表 Mapping 逻辑</w:t>
      </w:r>
    </w:p>
    <w:p>
      <w:pPr>
        <w:pStyle w:val="Heading2"/>
      </w:pPr>
      <w:r>
        <w:t>8.1 与 TOI 表关联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TOI 表中的 GB / Customer ID 先移除开头的“HSBC-”。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清洗后的 TOI Customer ID 与 Hub Query 生成的 Customer ID 进行匹配。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匹配成功后，可将 Hub Query 中的中文全称、中文简称、英文名称、机构代码、统一社会信用代码及 RM 信息补充至 TOI 客户记录。</w:t>
      </w:r>
    </w:p>
    <w:p>
      <w:pPr>
        <w:pStyle w:val="Heading2"/>
      </w:pPr>
      <w:r>
        <w:t>8.2 与 Transaction Data 关联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Transaction Data 中的 CUST 已采用 000-000000 格式。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以 Transaction Data.CUST = Hub Query.Customer ID 进行匹配。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匹配成功后，将 ZGC2FN、ZGCSCN 和 ZGC2CN 等客户名称字段补充至交易数据。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21"/>
              </w:rPr>
              <w:t>标准关联关系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TOI.GB（移除 HSBC- 后） = Hub Query.Customer ID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Transaction Data.CUST = Hub Query.Customer ID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Hub Query.Customer ID 是跨表 Mapping 的标准客户键。</w:t>
            </w:r>
          </w:p>
        </w:tc>
      </w:tr>
    </w:tbl>
    <w:p/>
    <w:p>
      <w:pPr>
        <w:pStyle w:val="Heading1"/>
      </w:pPr>
      <w:r>
        <w:t>9. Mapping 输出要求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输出字段</w:t>
            </w:r>
          </w:p>
        </w:tc>
        <w:tc>
          <w:tcPr>
            <w:tcW w:type="dxa" w:w="555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来源或用途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标准 Customer ID</w:t>
            </w:r>
          </w:p>
        </w:tc>
        <w:tc>
          <w:tcPr>
            <w:tcW w:type="dxa" w:w="55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用于跨表关联和客户聚合</w:t>
            </w:r>
          </w:p>
        </w:tc>
      </w:tr>
      <w:tr>
        <w:tc>
          <w:tcPr>
            <w:tcW w:type="dxa" w:w="396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客户中文全称</w:t>
            </w:r>
          </w:p>
        </w:tc>
        <w:tc>
          <w:tcPr>
            <w:tcW w:type="dxa" w:w="5556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ZGC2FN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客户中文简称</w:t>
            </w:r>
          </w:p>
        </w:tc>
        <w:tc>
          <w:tcPr>
            <w:tcW w:type="dxa" w:w="55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ZGC2CN</w:t>
            </w:r>
          </w:p>
        </w:tc>
      </w:tr>
      <w:tr>
        <w:tc>
          <w:tcPr>
            <w:tcW w:type="dxa" w:w="396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客户英文名称</w:t>
            </w:r>
          </w:p>
        </w:tc>
        <w:tc>
          <w:tcPr>
            <w:tcW w:type="dxa" w:w="5556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ZGCSCN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组织机构代码</w:t>
            </w:r>
          </w:p>
        </w:tc>
        <w:tc>
          <w:tcPr>
            <w:tcW w:type="dxa" w:w="55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ZGIDTY-ZGIDNO</w:t>
            </w:r>
          </w:p>
        </w:tc>
      </w:tr>
      <w:tr>
        <w:tc>
          <w:tcPr>
            <w:tcW w:type="dxa" w:w="396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统一社会信用代码</w:t>
            </w:r>
          </w:p>
        </w:tc>
        <w:tc>
          <w:tcPr>
            <w:tcW w:type="dxa" w:w="5556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ZUIDNO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RM Code</w:t>
            </w:r>
          </w:p>
        </w:tc>
        <w:tc>
          <w:tcPr>
            <w:tcW w:type="dxa" w:w="55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ZYRMGR</w:t>
            </w:r>
          </w:p>
        </w:tc>
      </w:tr>
      <w:tr>
        <w:tc>
          <w:tcPr>
            <w:tcW w:type="dxa" w:w="396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RM Name</w:t>
            </w:r>
          </w:p>
        </w:tc>
        <w:tc>
          <w:tcPr>
            <w:tcW w:type="dxa" w:w="5556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YHDS50</w:t>
            </w:r>
          </w:p>
        </w:tc>
      </w:tr>
    </w:tbl>
    <w:p/>
    <w:p>
      <w:pPr>
        <w:pStyle w:val="Heading1"/>
      </w:pPr>
      <w:r>
        <w:t>10. 数据处理及质量要求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ZGDCB 与 ZGDCS 在拼接前应按文本处理，避免前导 0 丢失。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补 0 仅用于不足指定位数的字段，不应截断超出指定位数的原始值；超长数据应进入异常清单，由业务确认。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ZGDCB 或 ZGDCS 任一为空时，不生成不完整 Customer ID，并将该记录标记为异常或未匹配。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拼接前应去除字段前后空格，短横线统一使用英文“-”。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Customer ID 应作为文本字段保存，不应按数值字段保存。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同一个标准 Customer ID 原则上应对应唯一客户主记录；如出现重复 Customer ID，应输出重复清单，不直接随机取值。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跨表匹配失败的 Customer ID 应保留原始记录，并形成 Unmatched List，供后续补充和核查。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客户名称、组织机构代码和统一社会信用代码为空时，不影响 Customer ID 的生成，但应保留为空，不使用其他字段强制覆盖。</w:t>
      </w:r>
    </w:p>
    <w:p>
      <w:pPr>
        <w:pStyle w:val="Heading1"/>
      </w:pPr>
      <w:r>
        <w:t>11. 匹配优先级及辅助键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主要匹配键：Customer ID。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辅助识别字段：Organization Code、ZUIDNO、客户中文全称、客户英文名称。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辅助字段主要用于核查或处理 Customer ID 无法匹配的异常情况，不应在未经确认时自动覆盖 Customer ID 的匹配结果。</w:t>
      </w:r>
    </w:p>
    <w:p>
      <w:pPr>
        <w:pStyle w:val="Heading1"/>
      </w:pPr>
      <w:r>
        <w:t>12. 核心逻辑汇总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669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Customer ID</w:t>
            </w:r>
          </w:p>
        </w:tc>
        <w:tc>
          <w:tcPr>
            <w:tcW w:type="dxa" w:w="669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LPAD(ZGDCB, 3, 0) + “-” + LPAD(ZGDCS, 6, 0)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客户名称</w:t>
            </w:r>
          </w:p>
        </w:tc>
        <w:tc>
          <w:tcPr>
            <w:tcW w:type="dxa" w:w="6690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ZGC2FN = 中文全称；ZGCSCN = 英文名称；ZGC2CN = 中文简称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组织机构代码</w:t>
            </w:r>
          </w:p>
        </w:tc>
        <w:tc>
          <w:tcPr>
            <w:tcW w:type="dxa" w:w="669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ZGIDTY + “-” + ZGIDNO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统一社会信用代码</w:t>
            </w:r>
          </w:p>
        </w:tc>
        <w:tc>
          <w:tcPr>
            <w:tcW w:type="dxa" w:w="6690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ZUIDNO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RM 信息</w:t>
            </w:r>
          </w:p>
        </w:tc>
        <w:tc>
          <w:tcPr>
            <w:tcW w:type="dxa" w:w="669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ZYRMGR = RM Code；YHDS50 = RM Name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跨表关系</w:t>
            </w:r>
          </w:p>
        </w:tc>
        <w:tc>
          <w:tcPr>
            <w:tcW w:type="dxa" w:w="6690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TOI / Transaction Data 通过标准 Customer ID 与 Hub Query 关联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b w:val="0"/>
        <w:i w:val="0"/>
        <w:color w:val="7F7F7F"/>
        <w:sz w:val="17"/>
      </w:rPr>
      <w:t>Internal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