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Noto Sans CJK SC"/>
          <w:b/>
          <w:i w:val="0"/>
          <w:color w:val="1F4E78"/>
          <w:sz w:val="40"/>
        </w:rPr>
        <w:t>TOI 数据表字段说明及功能需求</w:t>
      </w:r>
    </w:p>
    <w:p>
      <w:pPr>
        <w:spacing w:after="200" w:before="0" w:line="276" w:lineRule="auto"/>
        <w:jc w:val="center"/>
      </w:pPr>
      <w:r>
        <w:rPr>
          <w:rFonts w:ascii="Arial" w:hAnsi="Arial" w:eastAsia="Noto Sans CJK SC"/>
          <w:b w:val="0"/>
          <w:i w:val="0"/>
          <w:color w:val="666666"/>
          <w:sz w:val="21"/>
        </w:rPr>
        <w:t>Customer 360 / TOI Data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版本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Draft v1.0</w:t>
            </w:r>
          </w:p>
        </w:tc>
      </w:tr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用途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供业务与 IT 对齐字段口径、数据逻辑及功能要求</w:t>
            </w:r>
          </w:p>
        </w:tc>
      </w:tr>
      <w:t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19"/>
              </w:rPr>
              <w:t>范围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i w:val="0"/>
                <w:sz w:val="19"/>
              </w:rPr>
              <w:t>本文件仅覆盖当前已确认字段及处理逻辑</w:t>
            </w:r>
          </w:p>
        </w:tc>
      </w:tr>
    </w:tbl>
    <w:p/>
    <w:p>
      <w:pPr>
        <w:pStyle w:val="Heading1"/>
      </w:pPr>
      <w:r>
        <w:t>1. 文档目的</w:t>
      </w:r>
    </w:p>
    <w:p>
      <w:r>
        <w:rPr>
          <w:rFonts w:ascii="Arial" w:hAnsi="Arial" w:eastAsia="Noto Sans CJK SC"/>
          <w:b w:val="0"/>
          <w:i w:val="0"/>
          <w:sz w:val="21"/>
        </w:rPr>
        <w:t>明确 TOI 数据表的字段定义、年度口径、计算关系、数据清洗规则，以及后续筛选、聚合和展示要求。该表用于形成客户层面的统一收入及交易视图。</w:t>
      </w:r>
    </w:p>
    <w:p>
      <w:pPr>
        <w:pStyle w:val="Heading1"/>
      </w:pPr>
      <w:r>
        <w:t>2. 表格结构概览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Customer Information（客户基本信息）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CS Coverage（客户服务覆盖）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Balance（余额）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Deposits（存款结构）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NII（净利息收入）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NFI Details（非利息收入明细）及 Total NFI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Core Revenue / TOI（核心收入）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Transaction Volumes &amp; Values（交易笔数及金额）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Digital Indicators（数字化产品开通指标）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Others（其他指标，现阶段保留）</w:t>
      </w:r>
    </w:p>
    <w:p>
      <w:pPr>
        <w:pStyle w:val="Heading1"/>
      </w:pPr>
      <w:r>
        <w:t>3. Customer Information &amp; CS Coverage</w:t>
      </w:r>
    </w:p>
    <w:p>
      <w:r>
        <w:rPr>
          <w:rFonts w:ascii="Arial" w:hAnsi="Arial" w:eastAsia="Noto Sans CJK SC"/>
          <w:b w:val="0"/>
          <w:i w:val="0"/>
          <w:sz w:val="21"/>
        </w:rPr>
        <w:t>该模块用于说明客户身份、客户所属集团、RM 归属及 CS 覆盖情况，同时作为后续筛选和聚合的主要维度。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481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处理及功能要求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GB / Customer ID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客户唯一编号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当前字段可能带有“HSBC-”前缀。后续统一移除该前缀，仅保留标准 Customer ID。清洗后的值用于与 Hub Query 等其他数据源进行 Mapping。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Customer Name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客户英文名称</w:t>
            </w:r>
          </w:p>
        </w:tc>
        <w:tc>
          <w:tcPr>
            <w:tcW w:type="dxa" w:w="481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一个 Customer Group 可包含多个 Customer Name。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Customer Group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客户所属集团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允许为空。选择某个集团时，需要展示并汇总该集团下全部客户。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RM Code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客户经理代码</w:t>
            </w:r>
          </w:p>
        </w:tc>
        <w:tc>
          <w:tcPr>
            <w:tcW w:type="dxa" w:w="481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底层数据保留；后续前端展示、筛选和聚合不以该字段为主。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RM Name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客户经理姓名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作为主要筛选及聚合维度。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Sector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客户所属业务板块</w:t>
            </w:r>
          </w:p>
        </w:tc>
        <w:tc>
          <w:tcPr>
            <w:tcW w:type="dxa" w:w="481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当前包括 GNB、GC、BB、ICG 等；支持筛选及聚合。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Team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RM 所属团队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支持筛选及聚合。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CS Covered / CS Coverage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是否有 CS Coverage</w:t>
            </w:r>
          </w:p>
        </w:tc>
        <w:tc>
          <w:tcPr>
            <w:tcW w:type="dxa" w:w="481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0 = 无；1 = 有。支持筛选及统计。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Country CSM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国家客户服务经理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支持筛选及聚合。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Local CSM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本地客户服务经理</w:t>
            </w:r>
          </w:p>
        </w:tc>
        <w:tc>
          <w:tcPr>
            <w:tcW w:type="dxa" w:w="481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支持筛选及聚合。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Team Leader of Local CSM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Local CSM 的团队主管</w:t>
            </w:r>
          </w:p>
        </w:tc>
        <w:tc>
          <w:tcPr>
            <w:tcW w:type="dxa" w:w="48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支持筛选及聚合。</w:t>
            </w:r>
          </w:p>
        </w:tc>
      </w:tr>
    </w:tbl>
    <w:p/>
    <w:p>
      <w:pPr>
        <w:pStyle w:val="Heading1"/>
      </w:pPr>
      <w:r>
        <w:t>4. Customer ID 清洗规则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标准规则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原始值：HSBC-001-000001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清洗后：001-000001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处理方式：仅移除字段开头的“HSBC-”，不修改后续 Customer ID 内容。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清洗后的 Customer ID 作为跨表关联的标准客户键。</w:t>
            </w:r>
          </w:p>
        </w:tc>
      </w:tr>
    </w:tbl>
    <w:p/>
    <w:p>
      <w:pPr>
        <w:pStyle w:val="Heading1"/>
      </w:pPr>
      <w:r>
        <w:t>5. Balance &amp; Deposits</w:t>
      </w:r>
    </w:p>
    <w:p>
      <w:r>
        <w:rPr>
          <w:rFonts w:ascii="Arial" w:hAnsi="Arial" w:eastAsia="Noto Sans CJK SC"/>
          <w:b w:val="0"/>
          <w:i w:val="0"/>
          <w:sz w:val="21"/>
        </w:rPr>
        <w:t>所有 Balance 和 Deposits 指标均分别提供 2025 年和 2026 年数据。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年度要求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LCY Balance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本币余额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分别保留 2025 LCY Bal 和 2026 LCY Bal。</w:t>
            </w:r>
          </w:p>
        </w:tc>
      </w:tr>
      <w:tr>
        <w:tc>
          <w:tcPr>
            <w:tcW w:type="dxa" w:w="243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FCY Balance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外币余额</w:t>
            </w:r>
          </w:p>
        </w:tc>
        <w:tc>
          <w:tcPr>
            <w:tcW w:type="dxa" w:w="351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分别保留 2025 FCY Bal 和 2026 FCY Bal。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Total Balance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总体余额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分别保留 2025 Total Bal 和 2026 Total Bal。</w:t>
            </w:r>
          </w:p>
        </w:tc>
      </w:tr>
      <w:tr>
        <w:tc>
          <w:tcPr>
            <w:tcW w:type="dxa" w:w="243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TMD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Term Deposit，定期存款</w:t>
            </w:r>
          </w:p>
        </w:tc>
        <w:tc>
          <w:tcPr>
            <w:tcW w:type="dxa" w:w="351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分别保留 2025 TMD 和 2026 TMD。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CASA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Current Account / Savings Account，活期及储蓄存款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分别保留 2025 CASA 和 2026 CASA。</w:t>
            </w:r>
          </w:p>
        </w:tc>
      </w:tr>
    </w:tbl>
    <w:p/>
    <w:p>
      <w:pPr>
        <w:pStyle w:val="Heading1"/>
      </w:pPr>
      <w:r>
        <w:t>6. NII（Net Interest Income）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74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字段口径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LCY NII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本币余额产生的净利息收入</w:t>
            </w:r>
          </w:p>
        </w:tc>
        <w:tc>
          <w:tcPr>
            <w:tcW w:type="dxa" w:w="37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LCY NII / 2026 LCY NII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FCY NII</w:t>
            </w:r>
          </w:p>
        </w:tc>
        <w:tc>
          <w:tcPr>
            <w:tcW w:type="dxa" w:w="351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外币余额产生的净利息收入</w:t>
            </w:r>
          </w:p>
        </w:tc>
        <w:tc>
          <w:tcPr>
            <w:tcW w:type="dxa" w:w="374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FCY NII / 2026 FCY NII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NII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总体净利息收入</w:t>
            </w:r>
          </w:p>
        </w:tc>
        <w:tc>
          <w:tcPr>
            <w:tcW w:type="dxa" w:w="37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NII / 2026 NII；字段未标注 LCY 或 FCY 时，NII 即代表总体口径。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业务对应关系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LCY Balance 对应 LCY NII。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FCY Balance 对应 FCY NII。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Total Balance 对应总体 NII。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如平台需要重新计算总体 NII，应以 LCY NII 与 FCY NII 的合计为基础；如源数据已直接提供总体 NII，则应保留源值并进行一致性校验。</w:t>
            </w:r>
          </w:p>
        </w:tc>
      </w:tr>
    </w:tbl>
    <w:p/>
    <w:p>
      <w:pPr>
        <w:pStyle w:val="Heading1"/>
      </w:pPr>
      <w:r>
        <w:t>7. NFI Details（Fee Income Breakdown）</w:t>
      </w:r>
    </w:p>
    <w:p>
      <w:pPr>
        <w:pStyle w:val="Heading2"/>
      </w:pPr>
      <w:r>
        <w:t>7.1 Transaction Fees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年度字段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LCY Collection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本币收款手续费收入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LCY Col / 2026 LCY Col</w:t>
            </w:r>
          </w:p>
        </w:tc>
      </w:tr>
      <w:tr>
        <w:tc>
          <w:tcPr>
            <w:tcW w:type="dxa" w:w="243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LCY Payment</w:t>
            </w:r>
          </w:p>
        </w:tc>
        <w:tc>
          <w:tcPr>
            <w:tcW w:type="dxa" w:w="351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本币付款手续费收入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LCY Pay / 2026 LCY Pay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IRTT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外币收款手续费收入</w:t>
            </w:r>
          </w:p>
        </w:tc>
        <w:tc>
          <w:tcPr>
            <w:tcW w:type="dxa" w:w="35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IRTT / 2026 IRTT</w:t>
            </w:r>
          </w:p>
        </w:tc>
      </w:tr>
      <w:tr>
        <w:tc>
          <w:tcPr>
            <w:tcW w:type="dxa" w:w="243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ORTT</w:t>
            </w:r>
          </w:p>
        </w:tc>
        <w:tc>
          <w:tcPr>
            <w:tcW w:type="dxa" w:w="351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外币付款手续费收入</w:t>
            </w:r>
          </w:p>
        </w:tc>
        <w:tc>
          <w:tcPr>
            <w:tcW w:type="dxa" w:w="357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ORTT / 2026 ORTT</w:t>
            </w:r>
          </w:p>
        </w:tc>
      </w:tr>
    </w:tbl>
    <w:p/>
    <w:p>
      <w:pPr>
        <w:pStyle w:val="Heading2"/>
      </w:pPr>
      <w:r>
        <w:t>7.2 Account &amp; Service Fees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06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年度要求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Acc Srv</w:t>
            </w:r>
          </w:p>
        </w:tc>
        <w:tc>
          <w:tcPr>
            <w:tcW w:type="dxa" w:w="408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Account Service Fee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HEX</w:t>
            </w:r>
          </w:p>
        </w:tc>
        <w:tc>
          <w:tcPr>
            <w:tcW w:type="dxa" w:w="408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HEX 相关费用</w:t>
            </w:r>
          </w:p>
        </w:tc>
        <w:tc>
          <w:tcPr>
            <w:tcW w:type="dxa" w:w="306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Paper COS</w:t>
            </w:r>
          </w:p>
        </w:tc>
        <w:tc>
          <w:tcPr>
            <w:tcW w:type="dxa" w:w="408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Paper COS 相关费用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RMS</w:t>
            </w:r>
          </w:p>
        </w:tc>
        <w:tc>
          <w:tcPr>
            <w:tcW w:type="dxa" w:w="408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RMS 相关费用</w:t>
            </w:r>
          </w:p>
        </w:tc>
        <w:tc>
          <w:tcPr>
            <w:tcW w:type="dxa" w:w="306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HSBCnet</w:t>
            </w:r>
          </w:p>
        </w:tc>
        <w:tc>
          <w:tcPr>
            <w:tcW w:type="dxa" w:w="408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HSBCnet 服务费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EL</w:t>
            </w:r>
          </w:p>
        </w:tc>
        <w:tc>
          <w:tcPr>
            <w:tcW w:type="dxa" w:w="408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EL 相关费用</w:t>
            </w:r>
          </w:p>
        </w:tc>
        <w:tc>
          <w:tcPr>
            <w:tcW w:type="dxa" w:w="306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GLS</w:t>
            </w:r>
          </w:p>
        </w:tc>
        <w:tc>
          <w:tcPr>
            <w:tcW w:type="dxa" w:w="408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GLS 相关费用</w:t>
            </w:r>
          </w:p>
        </w:tc>
        <w:tc>
          <w:tcPr>
            <w:tcW w:type="dxa" w:w="30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Advising</w:t>
            </w:r>
          </w:p>
        </w:tc>
        <w:tc>
          <w:tcPr>
            <w:tcW w:type="dxa" w:w="408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Advising 相关费用</w:t>
            </w:r>
          </w:p>
        </w:tc>
        <w:tc>
          <w:tcPr>
            <w:tcW w:type="dxa" w:w="306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/ 2026</w:t>
            </w:r>
          </w:p>
        </w:tc>
      </w:tr>
    </w:tbl>
    <w:p/>
    <w:p>
      <w:pPr>
        <w:pStyle w:val="Heading1"/>
      </w:pPr>
      <w:r>
        <w:t>8. Total NFI 与 Core Revenue / TOI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i w:val="0"/>
                <w:color w:val="1F4E78"/>
                <w:sz w:val="21"/>
              </w:rPr>
              <w:t>计算逻辑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Total NFI = Transaction Fees + Account &amp; Service Fees。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Core Revenue / TOI = NII + NFI。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分别形成 2025 和 2026 年度口径。</w:t>
            </w:r>
          </w:p>
          <w:p>
            <w:pPr>
              <w:spacing w:after="40" w:before="0" w:line="276" w:lineRule="auto"/>
            </w:pPr>
            <w:r>
              <w:rPr>
                <w:rFonts w:ascii="Arial" w:hAnsi="Arial" w:eastAsia="Noto Sans CJK SC"/>
                <w:b w:val="0"/>
                <w:i w:val="0"/>
                <w:sz w:val="20"/>
              </w:rPr>
              <w:t>如果 Total NFI 或 Core Revenue 由源系统直接提供，应保留源值，并与明细加总结果进行一致性检查。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0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89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362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计算要求</w:t>
            </w:r>
          </w:p>
        </w:tc>
      </w:tr>
      <w:tr>
        <w:tc>
          <w:tcPr>
            <w:tcW w:type="dxa" w:w="300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NFI / 2026 NFI</w:t>
            </w:r>
          </w:p>
        </w:tc>
        <w:tc>
          <w:tcPr>
            <w:tcW w:type="dxa" w:w="289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年度总体非利息收入</w:t>
            </w:r>
          </w:p>
        </w:tc>
        <w:tc>
          <w:tcPr>
            <w:tcW w:type="dxa" w:w="36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由所有 Transaction Fees 与 Account &amp; Service Fees 汇总形成。</w:t>
            </w:r>
          </w:p>
        </w:tc>
      </w:tr>
      <w:tr>
        <w:tc>
          <w:tcPr>
            <w:tcW w:type="dxa" w:w="300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Core Revenue / 2026 Core Revenue</w:t>
            </w:r>
          </w:p>
        </w:tc>
        <w:tc>
          <w:tcPr>
            <w:tcW w:type="dxa" w:w="289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年度核心收入 / TOI</w:t>
            </w:r>
          </w:p>
        </w:tc>
        <w:tc>
          <w:tcPr>
            <w:tcW w:type="dxa" w:w="362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由对应年度 NII 与 NFI 汇总形成。</w:t>
            </w:r>
          </w:p>
        </w:tc>
      </w:tr>
    </w:tbl>
    <w:p/>
    <w:p>
      <w:pPr>
        <w:pStyle w:val="Heading1"/>
      </w:pPr>
      <w:r>
        <w:t>9. Transaction Volumes &amp; Values</w:t>
      </w:r>
    </w:p>
    <w:p>
      <w:r>
        <w:rPr>
          <w:rFonts w:ascii="Arial" w:hAnsi="Arial" w:eastAsia="Noto Sans CJK SC"/>
          <w:b w:val="0"/>
          <w:i w:val="0"/>
          <w:sz w:val="21"/>
        </w:rPr>
        <w:t>交易数据同时保留交易笔数和交易金额，且分别提供 2025 年和 2026 年数据。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交易类型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笔数字段</w:t>
            </w:r>
          </w:p>
        </w:tc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金额字段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IRTT</w:t>
            </w:r>
          </w:p>
        </w:tc>
        <w:tc>
          <w:tcPr>
            <w:tcW w:type="dxa" w:w="255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外币收款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IRTT Cnt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IRTT Amt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ORTT</w:t>
            </w:r>
          </w:p>
        </w:tc>
        <w:tc>
          <w:tcPr>
            <w:tcW w:type="dxa" w:w="255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外币付款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ORTT Cnt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ORTT Amt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 Collection</w:t>
            </w:r>
          </w:p>
        </w:tc>
        <w:tc>
          <w:tcPr>
            <w:tcW w:type="dxa" w:w="255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本币收款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LCYCol Cnt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LCYCol Amt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 Payment</w:t>
            </w:r>
          </w:p>
        </w:tc>
        <w:tc>
          <w:tcPr>
            <w:tcW w:type="dxa" w:w="255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本币付款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LCYPay Cnt</w:t>
            </w:r>
          </w:p>
        </w:tc>
        <w:tc>
          <w:tcPr>
            <w:tcW w:type="dxa" w:w="2324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7"/>
              </w:rPr>
              <w:t>LCYPay Amt</w:t>
            </w:r>
          </w:p>
        </w:tc>
      </w:tr>
    </w:tbl>
    <w:p/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Count / Cnt 代表交易笔数。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Amount / Amt 代表交易金额。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聚合时，笔数与金额均按所选客户或管理维度进行加总。</w:t>
      </w:r>
    </w:p>
    <w:p>
      <w:pPr>
        <w:pStyle w:val="Heading1"/>
      </w:pPr>
      <w:r>
        <w:t>10. Digital Indicators</w:t>
      </w:r>
    </w:p>
    <w:p>
      <w:r>
        <w:rPr>
          <w:rFonts w:ascii="Arial" w:hAnsi="Arial" w:eastAsia="Noto Sans CJK SC"/>
          <w:b w:val="0"/>
          <w:i w:val="0"/>
          <w:sz w:val="21"/>
        </w:rPr>
        <w:t>Digital Indicators 用于表示客户是否已开通相应数字化产品或功能。所有字段统一采用二元口径：0 = 未开通，1 = 已开通。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612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HSBCnet_Ind</w:t>
            </w:r>
          </w:p>
        </w:tc>
        <w:tc>
          <w:tcPr>
            <w:tcW w:type="dxa" w:w="612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是否开通 HSBCnet 网银</w:t>
            </w:r>
          </w:p>
        </w:tc>
      </w:tr>
      <w:tr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E-Tax</w:t>
            </w:r>
          </w:p>
        </w:tc>
        <w:tc>
          <w:tcPr>
            <w:tcW w:type="dxa" w:w="6123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是否开通 E-Tax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E-Port</w:t>
            </w:r>
          </w:p>
        </w:tc>
        <w:tc>
          <w:tcPr>
            <w:tcW w:type="dxa" w:w="612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是否开通 E-Port</w:t>
            </w:r>
          </w:p>
        </w:tc>
      </w:tr>
      <w:tr>
        <w:tc>
          <w:tcPr>
            <w:tcW w:type="dxa" w:w="340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ECDS</w:t>
            </w:r>
          </w:p>
        </w:tc>
        <w:tc>
          <w:tcPr>
            <w:tcW w:type="dxa" w:w="6123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是否开通 ECDS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LIS</w:t>
            </w:r>
          </w:p>
        </w:tc>
        <w:tc>
          <w:tcPr>
            <w:tcW w:type="dxa" w:w="612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是否开通 LIS</w:t>
            </w:r>
          </w:p>
        </w:tc>
      </w:tr>
    </w:tbl>
    <w:p/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客户明细展示：直接展示 0/1 或转换为“未开通/已开通”。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聚合展示：可统计已开通客户数、未开通客户数及开通率。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开通率分母应为当前筛选范围内的客户数量。</w:t>
      </w:r>
    </w:p>
    <w:p>
      <w:pPr>
        <w:pStyle w:val="Heading1"/>
      </w:pPr>
      <w:r>
        <w:t>11. 筛选与聚合功能要求</w:t>
      </w:r>
    </w:p>
    <w:p>
      <w:pPr>
        <w:pStyle w:val="Heading2"/>
      </w:pPr>
      <w:r>
        <w:t>11.1 支持的筛选维度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Customer Group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Customer Name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RM Name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Sector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Team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CS Coverage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Country CSM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Local CSM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Team Leader of Local CSM</w:t>
      </w:r>
    </w:p>
    <w:p>
      <w:pPr>
        <w:pStyle w:val="Heading2"/>
      </w:pPr>
      <w:r>
        <w:t>11.2 多条件交叉筛选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不同字段之间支持组合筛选，例如 Sector + RM Name、Team + Customer Group、Local CSM + CS Coverage。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不同字段之间采用 AND 逻辑，即结果需同时满足全部条件。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同一字段选择多个值时采用 OR 逻辑，即满足其中任一选项即可。</w:t>
      </w:r>
    </w:p>
    <w:p>
      <w:pPr>
        <w:pStyle w:val="Heading2"/>
      </w:pPr>
      <w:r>
        <w:t>11.3 Customer Group 展示逻辑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选择某个 Customer Group 后，列出该集团下全部 Customer Name。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汇总该集团下所有客户的 Balance、Deposits、NII、NFI、TOI 及交易数据。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支持从集团汇总下钻至单个 Customer Name。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Customer Group 为空的客户仍需保留，并支持筛选。</w:t>
      </w:r>
    </w:p>
    <w:p>
      <w:pPr>
        <w:pStyle w:val="Heading2"/>
      </w:pPr>
      <w:r>
        <w:t>11.4 数值指标聚合逻辑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指标类型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默认聚合方式</w:t>
            </w:r>
          </w:p>
        </w:tc>
        <w:tc>
          <w:tcPr>
            <w:tcW w:type="dxa" w:w="442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Balance / Deposits</w:t>
            </w:r>
          </w:p>
        </w:tc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SUM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按当前筛选范围加总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NII / NFI / Core Revenue</w:t>
            </w:r>
          </w:p>
        </w:tc>
        <w:tc>
          <w:tcPr>
            <w:tcW w:type="dxa" w:w="226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SUM</w:t>
            </w:r>
          </w:p>
        </w:tc>
        <w:tc>
          <w:tcPr>
            <w:tcW w:type="dxa" w:w="442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按当前筛选范围加总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Transaction Count</w:t>
            </w:r>
          </w:p>
        </w:tc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SUM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汇总交易笔数</w:t>
            </w:r>
          </w:p>
        </w:tc>
      </w:tr>
      <w:tr>
        <w:tc>
          <w:tcPr>
            <w:tcW w:type="dxa" w:w="283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Transaction Amount</w:t>
            </w:r>
          </w:p>
        </w:tc>
        <w:tc>
          <w:tcPr>
            <w:tcW w:type="dxa" w:w="226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SUM</w:t>
            </w:r>
          </w:p>
        </w:tc>
        <w:tc>
          <w:tcPr>
            <w:tcW w:type="dxa" w:w="4422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汇总交易金额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Digital Indicators</w:t>
            </w:r>
          </w:p>
        </w:tc>
        <w:tc>
          <w:tcPr>
            <w:tcW w:type="dxa" w:w="22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COUNT / Ratio</w:t>
            </w:r>
          </w:p>
        </w:tc>
        <w:tc>
          <w:tcPr>
            <w:tcW w:type="dxa" w:w="442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统计开通客户数、未开通客户数及开通率，不将 0/1 合计解释为金额类指标</w:t>
            </w:r>
          </w:p>
        </w:tc>
      </w:tr>
    </w:tbl>
    <w:p/>
    <w:p>
      <w:pPr>
        <w:pStyle w:val="Heading1"/>
      </w:pPr>
      <w:r>
        <w:t>12. 年度展示要求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所有带年度的字段分别保留 2025 和 2026 数据。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支持单独查看某一年度，也支持两个年度并列展示。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在任何筛选或聚合维度下，均应保持 2025 与 2026 的同口径对比。</w:t>
      </w:r>
    </w:p>
    <w:p>
      <w:pPr>
        <w:pStyle w:val="ListBullet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不得将不同年度数据混合加总为单一数值。</w:t>
      </w:r>
    </w:p>
    <w:p>
      <w:pPr>
        <w:pStyle w:val="Heading1"/>
      </w:pPr>
      <w:r>
        <w:t>13. Others 字段保留要求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6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13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现有字段</w:t>
            </w:r>
          </w:p>
        </w:tc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OD</w:t>
            </w:r>
          </w:p>
        </w:tc>
        <w:tc>
          <w:tcPr>
            <w:tcW w:type="dxa" w:w="413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OD / 2026 OD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暂时保留，不删除</w:t>
            </w:r>
          </w:p>
        </w:tc>
      </w:tr>
      <w:tr>
        <w:tc>
          <w:tcPr>
            <w:tcW w:type="dxa" w:w="266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FX</w:t>
            </w:r>
          </w:p>
        </w:tc>
        <w:tc>
          <w:tcPr>
            <w:tcW w:type="dxa" w:w="413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FX / 2026 FX</w:t>
            </w:r>
          </w:p>
        </w:tc>
        <w:tc>
          <w:tcPr>
            <w:tcW w:type="dxa" w:w="272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暂时保留，不删除</w:t>
            </w:r>
          </w:p>
        </w:tc>
      </w:tr>
      <w:tr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LPLR</w:t>
            </w:r>
          </w:p>
        </w:tc>
        <w:tc>
          <w:tcPr>
            <w:tcW w:type="dxa" w:w="413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2025 LP LR / 2026 LP LR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暂时保留，不删除</w:t>
            </w:r>
          </w:p>
        </w:tc>
      </w:tr>
      <w:tr>
        <w:tc>
          <w:tcPr>
            <w:tcW w:type="dxa" w:w="2665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Adjusted Core Revenue</w:t>
            </w:r>
          </w:p>
        </w:tc>
        <w:tc>
          <w:tcPr>
            <w:tcW w:type="dxa" w:w="4139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Core Revenue after LPLR 及 Growth</w:t>
            </w:r>
          </w:p>
        </w:tc>
        <w:tc>
          <w:tcPr>
            <w:tcW w:type="dxa" w:w="2721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暂时保留，不删除</w:t>
            </w:r>
          </w:p>
        </w:tc>
      </w:tr>
    </w:tbl>
    <w:p/>
    <w:p>
      <w:pPr>
        <w:pStyle w:val="Heading1"/>
      </w:pPr>
      <w:r>
        <w:t>14. 数据保留及实施原则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除 Customer ID 移除“HSBC-”前缀外，现阶段不删除或改写其他原始字段。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RM Code 可以在前端隐藏，但必须在底层保留。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暂不使用的字段允许隐藏，但不得从底层数据模型中删除。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计算字段与源字段同时存在时，应保留源字段，并增加一致性校验。</w:t>
      </w:r>
    </w:p>
    <w:p>
      <w:pPr>
        <w:pStyle w:val="ListNumber"/>
        <w:spacing w:after="40" w:before="0" w:line="276" w:lineRule="auto"/>
      </w:pPr>
      <w:r>
        <w:rPr>
          <w:rFonts w:ascii="Arial" w:hAnsi="Arial" w:eastAsia="Noto Sans CJK SC"/>
          <w:b w:val="0"/>
          <w:i w:val="0"/>
          <w:sz w:val="21"/>
        </w:rPr>
        <w:t>所有筛选和聚合均应基于清洗后的标准 Customer ID，避免同一客户被重复计算。</w:t>
      </w:r>
    </w:p>
    <w:p>
      <w:pPr>
        <w:pStyle w:val="Heading1"/>
      </w:pPr>
      <w:r>
        <w:t>15. 核心逻辑汇总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657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i w:val="0"/>
                <w:color w:val="FFFFFF"/>
                <w:sz w:val="18"/>
              </w:rPr>
              <w:t>核心规则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ID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移除开头的“HSBC-”后作为标准客户键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LCY Balance</w:t>
            </w:r>
          </w:p>
        </w:tc>
        <w:tc>
          <w:tcPr>
            <w:tcW w:type="dxa" w:w="657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对应 LCY NII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FCY Balance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对应 FCY NII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NFI</w:t>
            </w:r>
          </w:p>
        </w:tc>
        <w:tc>
          <w:tcPr>
            <w:tcW w:type="dxa" w:w="657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Transaction Fees + Account &amp; Service Fees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Core Revenue / TOI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NII + NFI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Transaction Count</w:t>
            </w:r>
          </w:p>
        </w:tc>
        <w:tc>
          <w:tcPr>
            <w:tcW w:type="dxa" w:w="657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交易笔数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Transaction Amount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交易金额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Digital Indicator</w:t>
            </w:r>
          </w:p>
        </w:tc>
        <w:tc>
          <w:tcPr>
            <w:tcW w:type="dxa" w:w="6576"/>
            <w:shd w:fill="F8FAFC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0 = 未开通；1 = 已开通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Customer Group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rPr>
                <w:rFonts w:ascii="Arial" w:hAnsi="Arial" w:eastAsia="Noto Sans CJK SC"/>
                <w:b w:val="0"/>
                <w:i w:val="0"/>
                <w:sz w:val="18"/>
              </w:rPr>
              <w:t>可对应多个 Customer Name，并支持集团汇总及客户下钻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i w:val="0"/>
        <w:color w:val="7F7F7F"/>
        <w:sz w:val="17"/>
      </w:rPr>
      <w:t>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