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ПРОИЗВОДСТВЕННУЮ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ПРЕДДИПЛОМНАЯ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Терентьевой Анастасии Максимовны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 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Карпова Наталья Александровна,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кандидат технических наук, доцент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rtl w:val="0"/>
        </w:rPr>
        <w:t xml:space="preserve"> 0104-425/03-ПР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2"/>
          <w:szCs w:val="22"/>
          <w:rtl w:val="0"/>
        </w:rPr>
        <w:t xml:space="preserve">апреля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24.05.2022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Оформить согласно ГОСТу: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</w:t>
            </w:r>
            <w:r w:rsidDel="00000000" w:rsidR="00000000" w:rsidRPr="00000000">
              <w:rPr>
                <w:rtl w:val="0"/>
              </w:rPr>
              <w:t xml:space="preserve">Оформить текст выпускной квалификационной работы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20.05.2022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 w:rsidDel="00000000" w:rsidR="00000000" w:rsidRPr="00000000">
              <w:rPr>
                <w:rtl w:val="0"/>
              </w:rPr>
              <w:t xml:space="preserve">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</w:t>
            </w:r>
            <w:r w:rsidDel="00000000" w:rsidR="00000000" w:rsidRPr="00000000"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Создать скринкаст для защиты выпускной квалификационной работы.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Скринкаст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мая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Терентьева А.М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064" cy="327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32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www.antiplagiat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kodaktor.ru/ref.pdf" TargetMode="External"/><Relationship Id="rId7" Type="http://schemas.openxmlformats.org/officeDocument/2006/relationships/hyperlink" Target="https://kodaktor.ru/g/vkr" TargetMode="External"/><Relationship Id="rId8" Type="http://schemas.openxmlformats.org/officeDocument/2006/relationships/hyperlink" Target="http://do.esprezo.ru/text-impro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