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A17FF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A17FF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A17FF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A17FF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A17FF0">
      <w:pPr>
        <w:pStyle w:val="Prrafodelista"/>
        <w:numPr>
          <w:ilvl w:val="0"/>
          <w:numId w:val="10"/>
        </w:numPr>
        <w:jc w:val="both"/>
      </w:pPr>
      <w:r>
        <w:t>La sintaxis de los bloques IF y WHILE, corresponden a la forma en que se definen en Modula-2. Es decir que no generan bloques BEGIN … END.</w:t>
      </w:r>
    </w:p>
    <w:p w14:paraId="3BAFF370" w14:textId="77777777" w:rsidR="00EF2F7E" w:rsidRDefault="00EF2F7E" w:rsidP="00A17FF0">
      <w:pPr>
        <w:pStyle w:val="Prrafodelista"/>
        <w:numPr>
          <w:ilvl w:val="0"/>
          <w:numId w:val="10"/>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14:paraId="681ADE23" w14:textId="77777777" w:rsidR="00EF2F7E" w:rsidRDefault="00EF2F7E" w:rsidP="00A17FF0">
      <w:pPr>
        <w:pStyle w:val="Prrafodelista"/>
        <w:numPr>
          <w:ilvl w:val="0"/>
          <w:numId w:val="10"/>
        </w:numPr>
        <w:jc w:val="both"/>
      </w:pPr>
      <w:r>
        <w:t>La sintaxis está apegada a la notación de POO, en lugar de la programación estructurada típica de Pascal. Así en lugar de usar “length(a)”, se prefiere usar “a.length”.</w:t>
      </w:r>
    </w:p>
    <w:p w14:paraId="69C8C55F" w14:textId="77777777" w:rsidR="00B51279" w:rsidRDefault="00B51279" w:rsidP="00A17FF0">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5648B37D" w14:textId="77777777" w:rsidR="00EF2F7E" w:rsidRDefault="00EF2F7E" w:rsidP="00A17FF0">
      <w:pPr>
        <w:pStyle w:val="Prrafodelista"/>
        <w:numPr>
          <w:ilvl w:val="0"/>
          <w:numId w:val="10"/>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930253"/>
      <w:r>
        <w:t>sntAssigment</w:t>
      </w:r>
      <w:bookmarkEnd w:id="18"/>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930254"/>
      <w:r w:rsidRPr="00B715E1">
        <w:t>sntExpres</w:t>
      </w:r>
      <w:bookmarkEnd w:id="19"/>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NonTerminal('procedure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OneOrMore(NonTerminal('expression'),','),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r w:rsidRPr="00DC1AA9">
        <w:rPr>
          <w:highlight w:val="yellow"/>
          <w:lang w:val="en-US"/>
        </w:rPr>
        <w:t>sntBEGIN…END</w:t>
      </w:r>
    </w:p>
    <w:p w14:paraId="5C2C3B9A" w14:textId="77777777" w:rsidR="003C15E4" w:rsidRPr="00DC1AA9" w:rsidRDefault="003C15E4" w:rsidP="00832538">
      <w:pPr>
        <w:ind w:left="708"/>
        <w:rPr>
          <w:highlight w:val="yellow"/>
          <w:lang w:val="en-US"/>
        </w:rPr>
      </w:pPr>
      <w:r w:rsidRPr="00DC1AA9">
        <w:rPr>
          <w:highlight w:val="yellow"/>
          <w:lang w:val="en-US"/>
        </w:rPr>
        <w:t>sntIF</w:t>
      </w:r>
    </w:p>
    <w:p w14:paraId="27F77237" w14:textId="77777777" w:rsidR="003C15E4" w:rsidRPr="00DC1AA9" w:rsidRDefault="003C15E4" w:rsidP="00832538">
      <w:pPr>
        <w:ind w:left="708"/>
        <w:rPr>
          <w:highlight w:val="yellow"/>
          <w:lang w:val="en-US"/>
        </w:rPr>
      </w:pPr>
      <w:r w:rsidRPr="00DC1AA9">
        <w:rPr>
          <w:highlight w:val="yellow"/>
          <w:lang w:val="en-US"/>
        </w:rPr>
        <w:t>sntREPEAT</w:t>
      </w:r>
    </w:p>
    <w:p w14:paraId="5AE577B4" w14:textId="77777777" w:rsidR="003C15E4" w:rsidRPr="00DC1AA9" w:rsidRDefault="003C15E4" w:rsidP="00832538">
      <w:pPr>
        <w:ind w:left="708"/>
        <w:rPr>
          <w:highlight w:val="yellow"/>
          <w:lang w:val="en-US"/>
        </w:rPr>
      </w:pPr>
      <w:r w:rsidRPr="00DC1AA9">
        <w:rPr>
          <w:highlight w:val="yellow"/>
          <w:lang w:val="en-US"/>
        </w:rPr>
        <w:t>sntWHILE</w:t>
      </w:r>
    </w:p>
    <w:p w14:paraId="302E186C" w14:textId="77777777" w:rsidR="003C15E4" w:rsidRPr="00DC1AA9" w:rsidRDefault="003C15E4" w:rsidP="00832538">
      <w:pPr>
        <w:ind w:left="708"/>
        <w:rPr>
          <w:highlight w:val="yellow"/>
          <w:lang w:val="en-US"/>
        </w:rPr>
      </w:pPr>
      <w:r w:rsidRPr="00DC1AA9">
        <w:rPr>
          <w:highlight w:val="yellow"/>
          <w:lang w:val="en-US"/>
        </w:rPr>
        <w:t>sntFOR</w:t>
      </w:r>
    </w:p>
    <w:p w14:paraId="736BAD84" w14:textId="77777777" w:rsidR="003C15E4" w:rsidRPr="009A1F33" w:rsidRDefault="003C15E4" w:rsidP="00832538">
      <w:pPr>
        <w:ind w:left="708"/>
        <w:rPr>
          <w:highlight w:val="yellow"/>
        </w:rPr>
      </w:pPr>
      <w:r w:rsidRPr="009A1F33">
        <w:rPr>
          <w:highlight w:val="yellow"/>
        </w:rPr>
        <w:t>sntCASE</w:t>
      </w:r>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r>
        <w:rPr>
          <w:highlight w:val="yellow"/>
        </w:rPr>
        <w:lastRenderedPageBreak/>
        <w:t>Operand</w:t>
      </w:r>
      <w:bookmarkEnd w:id="20"/>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r>
        <w:t>Constant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r>
        <w:t>FunOperand</w:t>
      </w:r>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lastRenderedPageBreak/>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93026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93026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93026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930264"/>
      <w:r>
        <w:lastRenderedPageBreak/>
        <w:t>CONSTANTES</w:t>
      </w:r>
      <w:bookmarkEnd w:id="31"/>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93026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930266"/>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5" w:name="_Toc97930267"/>
      <w:bookmarkStart w:id="36" w:name="_Toc97930268"/>
      <w:r>
        <w:t>Ciclo de vida de las declaraciones de constantes</w:t>
      </w:r>
      <w:bookmarkEnd w:id="3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r>
        <w:t>Evaluación de constantes simples</w:t>
      </w:r>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Default="00AC6DA3" w:rsidP="00AC6DA3">
      <w:pPr>
        <w:shd w:val="clear" w:color="auto"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75F083F" w14:textId="59732118" w:rsidR="00AC6DA3" w:rsidRPr="0090444B" w:rsidRDefault="00AC6DA3" w:rsidP="00AC6DA3">
      <w:pPr>
        <w:shd w:val="clear" w:color="auto" w:fill="D9E2F3" w:themeFill="accent5" w:themeFillTint="33"/>
        <w:spacing w:after="20"/>
        <w:rPr>
          <w:rFonts w:ascii="Courier New" w:hAnsi="Courier New" w:cs="Courier New"/>
          <w:noProof/>
          <w:color w:val="000000"/>
          <w:sz w:val="20"/>
          <w:lang w:val="en-US"/>
        </w:rPr>
      </w:pPr>
      <w:r w:rsidRPr="0090444B">
        <w:rPr>
          <w:rFonts w:ascii="Courier New" w:hAnsi="Courier New" w:cs="Courier New"/>
          <w:b/>
          <w:noProof/>
          <w:color w:val="008000"/>
          <w:sz w:val="20"/>
          <w:lang w:val="en-US"/>
        </w:rPr>
        <w:t>end</w:t>
      </w:r>
      <w:r w:rsidRPr="0090444B">
        <w:rPr>
          <w:rFonts w:ascii="Courier New" w:hAnsi="Courier New" w:cs="Courier New"/>
          <w:b/>
          <w:noProof/>
          <w:color w:val="FF0000"/>
          <w:sz w:val="20"/>
          <w:lang w:val="en-US"/>
        </w:rPr>
        <w:t>;</w:t>
      </w:r>
    </w:p>
    <w:p w14:paraId="1144CF2E" w14:textId="0DF56613" w:rsidR="00AC6DA3" w:rsidRDefault="00AC6DA3" w:rsidP="0080191E">
      <w:pPr>
        <w:rPr>
          <w:lang w:val="en-US"/>
        </w:rPr>
      </w:pPr>
    </w:p>
    <w:p w14:paraId="4E924B1F" w14:textId="34BFF89D" w:rsidR="00EF6CC7" w:rsidRPr="00EF6CC7" w:rsidRDefault="00EF6CC7" w:rsidP="0080191E">
      <w:pPr>
        <w:rPr>
          <w:lang w:val="es-PE"/>
        </w:rPr>
      </w:pPr>
      <w:r>
        <w:rPr>
          <w:lang w:val="en-US"/>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r>
        <w:t>Evaluación de constantes</w:t>
      </w:r>
      <w:bookmarkEnd w:id="35"/>
      <w:r w:rsidR="0080191E">
        <w:t xml:space="preserve"> con expresiones</w:t>
      </w:r>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1"/>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37" w:name="_Ref98755714"/>
      <w:r>
        <w:t>El problema de la evaluación de constantes</w:t>
      </w:r>
      <w:bookmarkEnd w:id="37"/>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 xml:space="preserve">ALTERNATIVA 1: Crear un analizador de expresiones especial para la evaluación de Declaración de constantes. En este caso, </w:t>
      </w:r>
      <w:r>
        <w:t>necesita</w:t>
      </w:r>
      <w:r>
        <w:t>ríamos</w:t>
      </w:r>
      <w:r>
        <w:t xml:space="preserve"> también definir las capacidades de este evaluador de expresiones, como saber hasta qué nivel de complejidad se soportaría en las expresiones y cómo se manejarían los tipos de datos.</w:t>
      </w:r>
      <w:r>
        <w:t xml:space="preserve">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38" w:name="_Toc97930269"/>
      <w:r>
        <w:lastRenderedPageBreak/>
        <w:t>Expresiones constantes</w:t>
      </w:r>
      <w:bookmarkEnd w:id="38"/>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 xml:space="preserve">Notar la diferencia de </w:t>
      </w:r>
      <w:r>
        <w:t xml:space="preserve">las expresiones </w:t>
      </w:r>
      <w:r>
        <w:t>constante con la</w:t>
      </w:r>
      <w:r>
        <w:t>s</w:t>
      </w:r>
      <w:r>
        <w:t xml:space="preserve"> </w:t>
      </w:r>
      <w:r>
        <w:t xml:space="preserve">declaraciones </w:t>
      </w:r>
      <w:r>
        <w:t>de constante, que</w:t>
      </w:r>
      <w:r>
        <w:t>,</w:t>
      </w:r>
      <w:r>
        <w:t xml:space="preserv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w:t>
      </w:r>
      <w:r>
        <w:t xml:space="preserve">específicamente </w:t>
      </w:r>
      <w:r>
        <w:t>de</w:t>
      </w:r>
      <w:r>
        <w:t>l</w:t>
      </w:r>
      <w:r>
        <w:t xml:space="preserve"> tipo </w:t>
      </w:r>
      <w:r w:rsidRPr="00E456D8">
        <w:t>otConst</w:t>
      </w:r>
      <w:r>
        <w:t>, lo que significa que son de solo lectura</w:t>
      </w:r>
      <w:r>
        <w:t>.</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r>
        <w:lastRenderedPageBreak/>
        <w:t>Constantes literales</w:t>
      </w:r>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571E24">
        <w:rPr>
          <w:rFonts w:ascii="Courier New" w:hAnsi="Courier New" w:cs="Courier New"/>
          <w:noProof/>
          <w:color w:val="000000"/>
          <w:sz w:val="20"/>
          <w:lang w:val="es-PE"/>
        </w:rPr>
        <w:t xml:space="preserve">    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w:t>
      </w:r>
      <w:r w:rsidRPr="00571E24">
        <w:rPr>
          <w:rFonts w:ascii="Courier New" w:hAnsi="Courier New" w:cs="Courier New"/>
          <w:bCs/>
          <w:noProof/>
          <w:color w:val="0000FF"/>
          <w:sz w:val="20"/>
          <w:lang w:val="es-PE"/>
        </w:rPr>
        <w:t>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6D1FEB" w:rsidRDefault="006D1FEB" w:rsidP="006D1FEB">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lang w:val="en-US"/>
        </w:rPr>
        <w:t xml:space="preserve">    </w:t>
      </w:r>
      <w:r w:rsidRPr="006D1FEB">
        <w:rPr>
          <w:rFonts w:ascii="Courier New" w:hAnsi="Courier New" w:cs="Courier New"/>
          <w:noProof/>
          <w:color w:val="000000"/>
          <w:sz w:val="20"/>
        </w:rPr>
        <w:t>evaluated</w:t>
      </w:r>
      <w:r w:rsidRPr="006D1FEB">
        <w:rPr>
          <w:rFonts w:ascii="Courier New" w:hAnsi="Courier New" w:cs="Courier New"/>
          <w:b/>
          <w:noProof/>
          <w:color w:val="FF0000"/>
          <w:sz w:val="20"/>
        </w:rPr>
        <w:t>:</w:t>
      </w:r>
      <w:r w:rsidRPr="006D1FEB">
        <w:rPr>
          <w:rFonts w:ascii="Courier New" w:hAnsi="Courier New" w:cs="Courier New"/>
          <w:noProof/>
          <w:color w:val="000000"/>
          <w:sz w:val="20"/>
        </w:rPr>
        <w:t xml:space="preserve"> boolean</w:t>
      </w:r>
      <w:r w:rsidRPr="006D1FEB">
        <w:rPr>
          <w:rFonts w:ascii="Courier New" w:hAnsi="Courier New" w:cs="Courier New"/>
          <w:b/>
          <w:noProof/>
          <w:color w:val="FF0000"/>
          <w:sz w:val="20"/>
        </w:rPr>
        <w:t>;</w:t>
      </w:r>
      <w:r w:rsidRPr="006D1FEB">
        <w:rPr>
          <w:rFonts w:ascii="Courier New" w:hAnsi="Courier New" w:cs="Courier New"/>
          <w:noProof/>
          <w:color w:val="000000"/>
          <w:sz w:val="20"/>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39"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 xml:space="preserve">Semánticamente entendemos a las </w:t>
      </w:r>
      <w:r>
        <w:t>Variables</w:t>
      </w:r>
      <w:r>
        <w:t xml:space="preserve"> como </w:t>
      </w:r>
      <w:r>
        <w:t xml:space="preserve">espacios de almacenamiento a los que puede acceder la CPU, y cuyo contenido suele cambiar </w:t>
      </w:r>
      <w:r>
        <w:t xml:space="preserve">durante el transcurso </w:t>
      </w:r>
      <w:r>
        <w:t>d</w:t>
      </w:r>
      <w:r>
        <w:t>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Pr>
          <w:rFonts w:ascii="Courier New" w:hAnsi="Courier New" w:cs="Courier New"/>
          <w:noProof/>
          <w:color w:val="0000FF"/>
          <w:sz w:val="20"/>
        </w:rPr>
        <w:t>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62D54A5F" w14:textId="7601CE5B"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s-PE"/>
        </w:rPr>
        <w:t xml:space="preserve">  </w:t>
      </w:r>
      <w:r w:rsidRPr="00A76254">
        <w:rPr>
          <w:rFonts w:ascii="Courier New" w:hAnsi="Courier New" w:cs="Courier New"/>
          <w:b/>
          <w:noProof/>
          <w:color w:val="008000"/>
          <w:sz w:val="20"/>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addrL</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LOW</w:t>
      </w:r>
      <w:r w:rsidRPr="00A76254">
        <w:rPr>
          <w:rFonts w:ascii="Courier New" w:hAnsi="Courier New" w:cs="Courier New"/>
          <w:b/>
          <w:noProof/>
          <w:color w:val="0000FF"/>
          <w:sz w:val="20"/>
        </w:rPr>
        <w:t>)</w:t>
      </w:r>
    </w:p>
    <w:p w14:paraId="23564392"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addrH</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HIGH</w:t>
      </w:r>
      <w:r w:rsidRPr="00A76254">
        <w:rPr>
          <w:rFonts w:ascii="Courier New" w:hAnsi="Courier New" w:cs="Courier New"/>
          <w:b/>
          <w:noProof/>
          <w:color w:val="0000FF"/>
          <w:sz w:val="20"/>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lang w:val="en-US"/>
        </w:rPr>
        <w:t xml:space="preserve">function </w:t>
      </w:r>
      <w:r w:rsidRPr="00A76254">
        <w:rPr>
          <w:rFonts w:ascii="Courier New" w:hAnsi="Courier New" w:cs="Courier New"/>
          <w:noProof/>
          <w:color w:val="000000"/>
          <w:sz w:val="20"/>
          <w:lang w:val="en-US"/>
        </w:rPr>
        <w:t>stoStr</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string</w:t>
      </w:r>
      <w:r w:rsidRPr="00A76254">
        <w:rPr>
          <w:rFonts w:ascii="Courier New" w:hAnsi="Courier New" w:cs="Courier New"/>
          <w:b/>
          <w:noProof/>
          <w:color w:val="FF0000"/>
          <w:sz w:val="20"/>
          <w:lang w:val="en-US"/>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4D76BD">
        <w:rPr>
          <w:rFonts w:ascii="Courier New" w:hAnsi="Courier New" w:cs="Courier New"/>
          <w:noProof/>
          <w:color w:val="000000"/>
          <w:sz w:val="18"/>
          <w:szCs w:val="20"/>
          <w:lang w:val="en-US"/>
        </w:rPr>
        <w:t xml:space="preserve">  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end</w:t>
      </w:r>
      <w:r w:rsidRPr="004D76BD">
        <w:rPr>
          <w:rFonts w:ascii="Courier New" w:hAnsi="Courier New" w:cs="Courier New"/>
          <w:b/>
          <w:noProof/>
          <w:color w:val="FF0000"/>
          <w:sz w:val="18"/>
          <w:szCs w:val="20"/>
          <w:lang w:val="en-US"/>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 xml:space="preserve">La declaración incluye la opción ABSOLUTE. Se usan los </w:t>
            </w:r>
            <w:r>
              <w:t>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w:t>
            </w:r>
            <w:r w:rsidR="00F5112E">
              <w:t xml:space="preserve"> ABSOLUTE $80</w:t>
            </w:r>
            <w:r w:rsidR="00F5112E">
              <w:t>;</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 xml:space="preserve">La declaración incluye la opción </w:t>
            </w:r>
            <w:r>
              <w:t>REGISTER</w:t>
            </w:r>
            <w:r>
              <w:t>.</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w:t>
            </w:r>
            <w:r>
              <w:t>REGISTER</w:t>
            </w:r>
            <w:r>
              <w:t>;</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 xml:space="preserve">La declaración incluye la opción </w:t>
            </w:r>
            <w:r>
              <w:t>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w:t>
            </w:r>
            <w:r>
              <w:t>A</w:t>
            </w:r>
            <w:r>
              <w:t>;</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w:t>
            </w:r>
            <w:r>
              <w:t>X</w:t>
            </w:r>
            <w:r>
              <w:t>.</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w:t>
            </w:r>
            <w:r>
              <w:t>X</w:t>
            </w:r>
            <w:r>
              <w:t>;</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w:t>
            </w:r>
            <w:r>
              <w:t>Y</w:t>
            </w:r>
            <w:r>
              <w:t>.</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w:t>
            </w:r>
            <w:r>
              <w:t>Y</w:t>
            </w:r>
            <w:r>
              <w:t>;</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 xml:space="preserve">La declaración no incluye </w:t>
            </w:r>
            <w:r>
              <w:t>inicialización</w:t>
            </w:r>
            <w:r>
              <w:t>.</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 xml:space="preserve">La declaración incluye </w:t>
            </w:r>
            <w:r>
              <w:t>inicialización</w:t>
            </w:r>
            <w:r>
              <w:t xml:space="preserve">. </w:t>
            </w:r>
            <w:r>
              <w:t>El valor de inicialización se encuentra en “</w:t>
            </w:r>
            <w:r w:rsidRPr="000721FF">
              <w:t>constDec</w:t>
            </w:r>
            <w:r>
              <w:t>”</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w:t>
            </w:r>
            <w:r>
              <w:t>= false</w:t>
            </w:r>
            <w:r>
              <w:t>;</w:t>
            </w:r>
          </w:p>
        </w:tc>
      </w:tr>
    </w:tbl>
    <w:p w14:paraId="5F1B9CBA" w14:textId="6C9F9619" w:rsidR="000721FF" w:rsidRDefault="000721FF" w:rsidP="001F60B5">
      <w:pPr>
        <w:ind w:firstLine="708"/>
        <w:jc w:val="both"/>
      </w:pPr>
    </w:p>
    <w:p w14:paraId="6364EF76" w14:textId="05EB1DD2" w:rsidR="000721FF" w:rsidRDefault="000721FF" w:rsidP="000721FF">
      <w:pPr>
        <w:pStyle w:val="Ttulo2"/>
      </w:pPr>
      <w:r>
        <w:t xml:space="preserve">Variables </w:t>
      </w:r>
      <w:r>
        <w:t>ABSOLUTE</w:t>
      </w:r>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w:t>
      </w:r>
      <w:r>
        <w:rPr>
          <w:rFonts w:ascii="Courier New" w:hAnsi="Courier New" w:cs="Courier New"/>
          <w:noProof/>
          <w:color w:val="000000"/>
          <w:sz w:val="20"/>
        </w:rPr>
        <w:t>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r>
        <w:lastRenderedPageBreak/>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3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40" w:name="_Ref493275408"/>
      <w:bookmarkStart w:id="41" w:name="_Toc29757897"/>
      <w:bookmarkStart w:id="42" w:name="_Toc97930271"/>
      <w:r>
        <w:t xml:space="preserve">La clase </w:t>
      </w:r>
      <w:bookmarkEnd w:id="40"/>
      <w:r w:rsidR="00776A76">
        <w:t>TEleTypeDec</w:t>
      </w:r>
      <w:bookmarkEnd w:id="41"/>
      <w:bookmarkEnd w:id="42"/>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El evento OnLoadTo</w:t>
      </w:r>
      <w:r w:rsidR="001B37AE">
        <w:rPr>
          <w:highlight w:val="yellow"/>
        </w:rPr>
        <w:t>WR</w:t>
      </w:r>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El evento OnSaveToStk,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3" w:name="_Toc29757898"/>
      <w:bookmarkStart w:id="44" w:name="_Toc97930272"/>
      <w:r>
        <w:t>Tipos Básicos</w:t>
      </w:r>
      <w:bookmarkEnd w:id="43"/>
      <w:bookmarkEnd w:id="4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5" w:name="_Toc29757900"/>
      <w:bookmarkStart w:id="46" w:name="_Toc97930273"/>
      <w:bookmarkStart w:id="47" w:name="_Toc29757899"/>
      <w:r>
        <w:t>Categorías de tipos</w:t>
      </w:r>
      <w:bookmarkEnd w:id="45"/>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8" w:name="_Toc97930274"/>
      <w:r>
        <w:t>Tipos definidos por el usuario</w:t>
      </w:r>
      <w:bookmarkEnd w:id="47"/>
      <w:bookmarkEnd w:id="4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9" w:name="_Ref496616974"/>
      <w:bookmarkStart w:id="50" w:name="_Toc29757901"/>
      <w:bookmarkStart w:id="51" w:name="_Toc97930275"/>
      <w:r>
        <w:t>Tipos Copia</w:t>
      </w:r>
      <w:bookmarkEnd w:id="49"/>
      <w:bookmarkEnd w:id="50"/>
      <w:bookmarkEnd w:id="5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2" w:name="_Toc29757902"/>
      <w:bookmarkStart w:id="53" w:name="_Ref53434216"/>
      <w:bookmarkStart w:id="54" w:name="_Toc97930276"/>
      <w:r>
        <w:lastRenderedPageBreak/>
        <w:t>TIPOS BÁSICOS</w:t>
      </w:r>
      <w:bookmarkEnd w:id="52"/>
      <w:bookmarkEnd w:id="53"/>
      <w:r w:rsidR="004A1E04">
        <w:t xml:space="preserve"> Y ESTRUCTURADOS</w:t>
      </w:r>
      <w:bookmarkEnd w:id="5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5" w:name="_Ref29669278"/>
      <w:bookmarkStart w:id="56" w:name="_Toc29757903"/>
      <w:bookmarkStart w:id="57" w:name="_Toc97930277"/>
      <w:r>
        <w:t>Tipo Bool</w:t>
      </w:r>
      <w:r w:rsidR="000C4E42">
        <w:t>ean</w:t>
      </w:r>
      <w:bookmarkEnd w:id="55"/>
      <w:bookmarkEnd w:id="56"/>
      <w:bookmarkEnd w:id="57"/>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8" w:name="_Ref29669357"/>
      <w:bookmarkStart w:id="59" w:name="_Toc29757904"/>
      <w:bookmarkStart w:id="60" w:name="_Toc97930278"/>
      <w:r>
        <w:t xml:space="preserve">Bandera </w:t>
      </w:r>
      <w:r w:rsidRPr="008A611D">
        <w:t>AcumStatInZ</w:t>
      </w:r>
      <w:bookmarkEnd w:id="58"/>
      <w:bookmarkEnd w:id="59"/>
      <w:bookmarkEnd w:id="60"/>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1" w:name="_Toc97930279"/>
      <w:r>
        <w:lastRenderedPageBreak/>
        <w:t>T</w:t>
      </w:r>
      <w:r w:rsidR="00AA54E2">
        <w:t>ipos Estructurados</w:t>
      </w:r>
      <w:bookmarkEnd w:id="61"/>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2" w:name="_Ref50649156"/>
      <w:bookmarkStart w:id="63" w:name="_Toc97930280"/>
      <w:r>
        <w:lastRenderedPageBreak/>
        <w:t>EXPRESIONES</w:t>
      </w:r>
      <w:bookmarkEnd w:id="62"/>
      <w:bookmarkEnd w:id="63"/>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4" w:name="_Toc97930281"/>
      <w:r>
        <w:t>Expresiones Pascal</w:t>
      </w:r>
      <w:bookmarkEnd w:id="6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L8f&#10;RsVLAgAAiwQAAA4AAAAAAAAAAAAAAAAALgIAAGRycy9lMm9Eb2MueG1sUEsBAi0AFAAGAAgAAAAh&#10;AHvyWtjeAAAACAEAAA8AAAAAAAAAAAAAAAAApQQAAGRycy9kb3ducmV2LnhtbFBLBQYAAAAABAAE&#10;APMAAACw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5" w:name="_Ref50707528"/>
      <w:bookmarkStart w:id="66" w:name="_Toc97930282"/>
      <w:r>
        <w:t>Expresiones en P65Pas</w:t>
      </w:r>
      <w:bookmarkEnd w:id="65"/>
      <w:bookmarkEnd w:id="66"/>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2A77DB"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7" w:name="_Toc97930283"/>
      <w:r>
        <w:t>Operadores y precedencia</w:t>
      </w:r>
      <w:bookmarkEnd w:id="67"/>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8" w:name="_Ref93005238"/>
      <w:bookmarkStart w:id="69" w:name="_Toc97930284"/>
      <w:r w:rsidR="001B7190">
        <w:t>Objetos y Métodos</w:t>
      </w:r>
      <w:bookmarkEnd w:id="68"/>
      <w:bookmarkEnd w:id="69"/>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4"/>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70" w:name="_Toc97930285"/>
      <w:r>
        <w:t>Operadores especiales</w:t>
      </w:r>
      <w:bookmarkEnd w:id="70"/>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2A77DB" w:rsidRDefault="006814AA" w:rsidP="0048796E">
      <w:pPr>
        <w:ind w:firstLine="432"/>
        <w:rPr>
          <w:lang w:val="es-PE"/>
        </w:rPr>
      </w:pPr>
      <w:r w:rsidRPr="002A77DB">
        <w:rPr>
          <w:lang w:val="es-PE"/>
        </w:rPr>
        <w:t>_se</w:t>
      </w:r>
      <w:r w:rsidR="004B4F8B" w:rsidRPr="002A77DB">
        <w:rPr>
          <w:lang w:val="es-PE"/>
        </w:rPr>
        <w:t>tI</w:t>
      </w:r>
      <w:r w:rsidRPr="002A77DB">
        <w:rPr>
          <w:lang w:val="es-PE"/>
        </w:rPr>
        <w:t>tem(index, value)</w:t>
      </w:r>
    </w:p>
    <w:p w14:paraId="1242E9A0" w14:textId="77777777" w:rsidR="006814AA" w:rsidRPr="002A77DB" w:rsidRDefault="006814AA" w:rsidP="0048796E">
      <w:pPr>
        <w:ind w:firstLine="432"/>
        <w:rPr>
          <w:lang w:val="es-PE"/>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1" w:name="_Toc97930286"/>
      <w:r>
        <w:t>Funciones en las expresiones</w:t>
      </w:r>
      <w:bookmarkEnd w:id="71"/>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2" w:name="_Ref50649645"/>
      <w:bookmarkStart w:id="73" w:name="_Toc97930287"/>
      <w:r>
        <w:t>Diagramas en árbol</w:t>
      </w:r>
      <w:bookmarkEnd w:id="72"/>
      <w:bookmarkEnd w:id="73"/>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4" w:name="_Ref50711031"/>
      <w:bookmarkStart w:id="75" w:name="_Toc97930288"/>
      <w:r>
        <w:t>Operandos y expresiones</w:t>
      </w:r>
      <w:bookmarkEnd w:id="74"/>
      <w:bookmarkEnd w:id="75"/>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2A77DB" w:rsidRDefault="004F6430" w:rsidP="004F6430">
      <w:pPr>
        <w:ind w:firstLine="432"/>
        <w:rPr>
          <w:lang w:val="en-US"/>
        </w:rPr>
      </w:pPr>
      <w:r w:rsidRPr="002A77DB">
        <w:rPr>
          <w:lang w:val="en-US"/>
        </w:rPr>
        <w:t xml:space="preserve">operand ::= identifier { "." identifier | </w:t>
      </w:r>
    </w:p>
    <w:p w14:paraId="03274F27" w14:textId="77777777" w:rsidR="004F6430" w:rsidRPr="002A77DB" w:rsidRDefault="004F6430" w:rsidP="004F6430">
      <w:pPr>
        <w:ind w:firstLine="432"/>
        <w:rPr>
          <w:lang w:val="en-US"/>
        </w:rPr>
      </w:pPr>
      <w:r w:rsidRPr="002A77DB">
        <w:rPr>
          <w:lang w:val="en-US"/>
        </w:rPr>
        <w:t xml:space="preserve">      "[" expression { "," expression } "]" | </w:t>
      </w:r>
    </w:p>
    <w:p w14:paraId="16142A6A" w14:textId="77777777" w:rsidR="00A80ED4" w:rsidRDefault="004F6430" w:rsidP="004F6430">
      <w:pPr>
        <w:ind w:firstLine="432"/>
      </w:pPr>
      <w:r w:rsidRPr="002A77DB">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6" w:name="_Ref50708360"/>
      <w:bookmarkStart w:id="77" w:name="_Toc97930289"/>
      <w:r>
        <w:lastRenderedPageBreak/>
        <w:t>Asignaciones</w:t>
      </w:r>
      <w:bookmarkEnd w:id="76"/>
      <w:bookmarkEnd w:id="77"/>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78" w:name="_Toc522888776"/>
      <w:bookmarkEnd w:id="11"/>
      <w:bookmarkEnd w:id="12"/>
      <w:r>
        <w:br w:type="page"/>
      </w:r>
    </w:p>
    <w:p w14:paraId="1B6821A4" w14:textId="77777777" w:rsidR="00DB0C97" w:rsidRDefault="00DB0C97" w:rsidP="00DB0C97">
      <w:pPr>
        <w:pStyle w:val="Ttulo1"/>
      </w:pPr>
      <w:bookmarkStart w:id="79" w:name="_Toc97930290"/>
      <w:r>
        <w:lastRenderedPageBreak/>
        <w:t>FUNCIONES Y PROCEDIMIENTOS</w:t>
      </w:r>
      <w:bookmarkEnd w:id="79"/>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80" w:name="_Toc53432799"/>
      <w:bookmarkStart w:id="81" w:name="_Toc97930291"/>
      <w:bookmarkStart w:id="82" w:name="_Ref494383637"/>
      <w:r>
        <w:t>Procedimientos y funciones</w:t>
      </w:r>
      <w:bookmarkEnd w:id="80"/>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3" w:name="_Toc53432800"/>
      <w:bookmarkStart w:id="84" w:name="_Toc97930292"/>
      <w:r>
        <w:t>Representación de funciones</w:t>
      </w:r>
      <w:bookmarkEnd w:id="83"/>
      <w:bookmarkEnd w:id="84"/>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5" w:name="_Toc97930293"/>
      <w:r>
        <w:t xml:space="preserve">El problema de las llamadas a </w:t>
      </w:r>
      <w:r w:rsidR="000602FF">
        <w:t>declaración/ implementación</w:t>
      </w:r>
      <w:bookmarkEnd w:id="85"/>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6" w:name="_Toc53432801"/>
      <w:bookmarkStart w:id="87" w:name="_Toc97930294"/>
      <w:r>
        <w:t>Funciones como métodos de objetos.</w:t>
      </w:r>
      <w:bookmarkEnd w:id="86"/>
      <w:bookmarkEnd w:id="87"/>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8" w:name="_Toc53432802"/>
      <w:bookmarkStart w:id="89" w:name="_Toc97930295"/>
      <w:r>
        <w:t>Funciones de Usuario y del sistema</w:t>
      </w:r>
      <w:bookmarkEnd w:id="88"/>
      <w:bookmarkEnd w:id="89"/>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90" w:name="_Toc53432803"/>
      <w:bookmarkStart w:id="91" w:name="_Toc97930296"/>
      <w:r>
        <w:t>Funciones del Sistema</w:t>
      </w:r>
      <w:bookmarkEnd w:id="90"/>
      <w:bookmarkEnd w:id="91"/>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2" w:name="_Toc53432804"/>
      <w:bookmarkStart w:id="93" w:name="_Toc97930297"/>
      <w:r>
        <w:t>Funciones del Usuario</w:t>
      </w:r>
      <w:bookmarkEnd w:id="82"/>
      <w:bookmarkEnd w:id="92"/>
      <w:bookmarkEnd w:id="93"/>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4" w:name="_Toc53432808"/>
      <w:bookmarkStart w:id="95" w:name="_Toc97930298"/>
      <w:r>
        <w:t>Implementación de funciones para los operadores</w:t>
      </w:r>
      <w:bookmarkEnd w:id="94"/>
      <w:bookmarkEnd w:id="95"/>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6" w:name="_Ref93522325"/>
      <w:bookmarkStart w:id="97" w:name="_Toc97930299"/>
      <w:r>
        <w:lastRenderedPageBreak/>
        <w:t>ÁRBOL DE SINTAXIS</w:t>
      </w:r>
      <w:bookmarkEnd w:id="78"/>
      <w:bookmarkEnd w:id="96"/>
      <w:bookmarkEnd w:id="97"/>
    </w:p>
    <w:p w14:paraId="019D5E2C" w14:textId="77777777" w:rsidR="0088231F" w:rsidRDefault="0088231F" w:rsidP="0088231F"/>
    <w:p w14:paraId="0D326147" w14:textId="77777777" w:rsidR="000F3007" w:rsidRDefault="000F3007" w:rsidP="000F3007">
      <w:pPr>
        <w:pStyle w:val="Ttulo2"/>
      </w:pPr>
      <w:bookmarkStart w:id="98" w:name="_Toc97930300"/>
      <w:r>
        <w:t>Fundamentos</w:t>
      </w:r>
      <w:bookmarkEnd w:id="98"/>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8" r:lo="rId49" r:qs="rId50" r:cs="rId5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9" w:name="_Toc522888778"/>
      <w:bookmarkStart w:id="100" w:name="_Toc97930301"/>
      <w:r>
        <w:t>Estructura</w:t>
      </w:r>
      <w:bookmarkEnd w:id="99"/>
      <w:bookmarkEnd w:id="100"/>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1" w:name="_Toc522888779"/>
      <w:bookmarkStart w:id="102" w:name="_Toc97930302"/>
      <w:r>
        <w:t>Duplicidad de nombres</w:t>
      </w:r>
      <w:bookmarkEnd w:id="101"/>
      <w:bookmarkEnd w:id="102"/>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3"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3"/>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4" w:name="_Ref482130449"/>
      <w:bookmarkStart w:id="105" w:name="_Ref482130493"/>
      <w:bookmarkStart w:id="106" w:name="_Toc522888780"/>
      <w:bookmarkStart w:id="107" w:name="_Toc97930303"/>
      <w:r>
        <w:t>Resolución de nombres</w:t>
      </w:r>
      <w:bookmarkEnd w:id="104"/>
      <w:bookmarkEnd w:id="105"/>
      <w:bookmarkEnd w:id="106"/>
      <w:bookmarkEnd w:id="107"/>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8" w:name="_Toc97930304"/>
      <w:r>
        <w:t>FindFirst() y FindNext()</w:t>
      </w:r>
      <w:bookmarkEnd w:id="108"/>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9" w:name="_Toc97930305"/>
      <w:r>
        <w:t>Comparación de Identificadores</w:t>
      </w:r>
      <w:bookmarkEnd w:id="109"/>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0" w:name="_Ref55977711"/>
      <w:bookmarkStart w:id="111" w:name="_Toc97930306"/>
      <w:r>
        <w:t>Exploración</w:t>
      </w:r>
      <w:r w:rsidR="00522484">
        <w:t xml:space="preserve"> de identificadores</w:t>
      </w:r>
      <w:bookmarkEnd w:id="110"/>
      <w:bookmarkEnd w:id="111"/>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2" w:name="_Toc97930307"/>
      <w:r w:rsidRPr="009311DE">
        <w:t xml:space="preserve">Llamadas desde </w:t>
      </w:r>
      <w:r w:rsidR="00DA10D8">
        <w:t>TEleBody</w:t>
      </w:r>
      <w:bookmarkEnd w:id="112"/>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3" w:name="_Toc97930308"/>
      <w:r w:rsidRPr="009311DE">
        <w:t xml:space="preserve">Llamadas desde </w:t>
      </w:r>
      <w:r>
        <w:t>las Declaraciones</w:t>
      </w:r>
      <w:bookmarkEnd w:id="113"/>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4" w:name="_Toc522888781"/>
      <w:bookmarkStart w:id="115" w:name="_Toc97930309"/>
      <w:r>
        <w:t>Llenado del árbol de sintaxis</w:t>
      </w:r>
      <w:bookmarkEnd w:id="114"/>
      <w:bookmarkEnd w:id="115"/>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6" w:name="_Toc97930310"/>
      <w:r>
        <w:t>Consideraciones</w:t>
      </w:r>
      <w:bookmarkEnd w:id="116"/>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7" w:name="_Toc522888782"/>
      <w:bookmarkStart w:id="118" w:name="_Ref53589090"/>
      <w:bookmarkStart w:id="119" w:name="_Ref55937360"/>
      <w:bookmarkStart w:id="120" w:name="_Ref55996078"/>
      <w:bookmarkStart w:id="121" w:name="_Toc97930311"/>
      <w:r>
        <w:t>Llamadas o Referencias</w:t>
      </w:r>
      <w:bookmarkEnd w:id="117"/>
      <w:bookmarkEnd w:id="118"/>
      <w:bookmarkEnd w:id="119"/>
      <w:bookmarkEnd w:id="120"/>
      <w:bookmarkEnd w:id="121"/>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2" w:name="_Toc97930312"/>
      <w:r>
        <w:t xml:space="preserve">Llamadas desde </w:t>
      </w:r>
      <w:r w:rsidR="00C06EF0">
        <w:t>TEleConsDec</w:t>
      </w:r>
      <w:bookmarkEnd w:id="122"/>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3" w:name="_Toc97930313"/>
      <w:r>
        <w:t>Llamadas desde TEleVarDec</w:t>
      </w:r>
      <w:bookmarkEnd w:id="123"/>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4" w:name="_Toc97930314"/>
      <w:r>
        <w:t xml:space="preserve">Llamadas desde </w:t>
      </w:r>
      <w:r w:rsidR="00776A76">
        <w:t>TEleTypeDec</w:t>
      </w:r>
      <w:bookmarkEnd w:id="124"/>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5" w:name="_Toc97930315"/>
      <w:r>
        <w:t xml:space="preserve">Llamadas desde </w:t>
      </w:r>
      <w:r w:rsidR="00DA10D8">
        <w:t>TEleBody</w:t>
      </w:r>
      <w:bookmarkEnd w:id="125"/>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6" w:name="_Toc97930316"/>
      <w:r>
        <w:t>Implementación de llamadas</w:t>
      </w:r>
      <w:bookmarkEnd w:id="126"/>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7" w:name="_Ref54775154"/>
      <w:bookmarkStart w:id="128" w:name="_Toc97930317"/>
      <w:r>
        <w:t>Contenedores de código</w:t>
      </w:r>
      <w:bookmarkEnd w:id="127"/>
      <w:bookmarkEnd w:id="128"/>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9" w:name="_Toc97930318"/>
      <w:r w:rsidR="00813D40">
        <w:t>“Llamadores” y “llamados”.</w:t>
      </w:r>
      <w:bookmarkEnd w:id="129"/>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30" w:name="_Toc97930319"/>
      <w:r>
        <w:t>Elementos llamados</w:t>
      </w:r>
      <w:bookmarkEnd w:id="130"/>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1" w:name="_Ref54725490"/>
      <w:bookmarkStart w:id="132" w:name="_Toc97930320"/>
      <w:r>
        <w:lastRenderedPageBreak/>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3" w:name="_Toc97930321"/>
      <w:bookmarkStart w:id="134" w:name="_Ref53480723"/>
      <w:r>
        <w:t>Estado final d</w:t>
      </w:r>
      <w:r w:rsidR="0013624A">
        <w:t>el AST</w:t>
      </w:r>
      <w:bookmarkEnd w:id="133"/>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r>
        <w:t xml:space="preserve">Estado General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 xml:space="preserve">La regla </w:t>
      </w:r>
      <w:r>
        <w:t>4</w:t>
      </w:r>
      <w:r>
        <w:t xml:space="preserve">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35" w:name="_Ref98664032"/>
      <w:r>
        <w:t>Estado de los elementos de declaración</w:t>
      </w:r>
      <w:bookmarkEnd w:id="135"/>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w:t>
      </w:r>
      <w:r>
        <w:t>nodos TEle</w:t>
      </w:r>
      <w:r>
        <w:t>Var</w:t>
      </w:r>
      <w:r>
        <w:t>Dec podrían no estar evaluados en su valor</w:t>
      </w:r>
      <w:r>
        <w:t xml:space="preserve"> de inicialización</w:t>
      </w:r>
      <w:r>
        <w:t xml:space="preserve">. Esto sucede cuando </w:t>
      </w:r>
      <w:r>
        <w:t>por ejemplo la declaración es ABSOLUTE a alguna otra variable</w:t>
      </w:r>
      <w:r>
        <w:t>.</w:t>
      </w:r>
    </w:p>
    <w:p w14:paraId="2F94E054" w14:textId="58ECF7D0" w:rsidR="00A61E92" w:rsidRDefault="00A61E92" w:rsidP="00A17FF0">
      <w:pPr>
        <w:pStyle w:val="Prrafodelista"/>
        <w:numPr>
          <w:ilvl w:val="0"/>
          <w:numId w:val="43"/>
        </w:numPr>
        <w:jc w:val="both"/>
      </w:pPr>
      <w:r>
        <w:t xml:space="preserve">Los </w:t>
      </w:r>
      <w:r>
        <w:t>nodos TEleVarDec</w:t>
      </w:r>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r>
        <w:t xml:space="preserve">Estado de los elementos </w:t>
      </w:r>
      <w:r>
        <w:t>TEleExpress</w:t>
      </w:r>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w:t>
      </w:r>
      <w:r>
        <w:t>os nodos TEleExpress tienen ya su tipo de dato definido</w:t>
      </w:r>
      <w:r>
        <w:t xml:space="preserve"> (</w:t>
      </w:r>
      <w:r w:rsidRPr="00557106">
        <w:t>TEleExpress</w:t>
      </w:r>
      <w:r>
        <w:t>.</w:t>
      </w:r>
      <w:r w:rsidRPr="00557106">
        <w:t>Typ</w:t>
      </w:r>
      <w:r>
        <w:t>)</w:t>
      </w:r>
      <w:r>
        <w:t>. Esto es posible por la característica de Pascal como lenguaje “tipado”.</w:t>
      </w:r>
    </w:p>
    <w:p w14:paraId="75BE4245" w14:textId="4AE37A62" w:rsidR="00557106" w:rsidRDefault="00557106" w:rsidP="00A17FF0">
      <w:pPr>
        <w:pStyle w:val="Prrafodelista"/>
        <w:numPr>
          <w:ilvl w:val="0"/>
          <w:numId w:val="42"/>
        </w:numPr>
        <w:jc w:val="both"/>
      </w:pPr>
      <w:r>
        <w:t>Los nodos TEleExpress</w:t>
      </w:r>
      <w:r>
        <w:t xml:space="preserve"> tienen asignado un tipo de operando (</w:t>
      </w:r>
      <w:r w:rsidRPr="00557106">
        <w:t>TEleExpress</w:t>
      </w:r>
      <w:r>
        <w:t>.</w:t>
      </w:r>
      <w:r w:rsidRPr="00557106">
        <w:t xml:space="preserve"> </w:t>
      </w:r>
      <w:r w:rsidRPr="00557106">
        <w:t>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661C4D32"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w:t>
      </w:r>
      <w:r w:rsidR="008C6D1F">
        <w:t>Esto es particularmente cierto en los casos “</w:t>
      </w:r>
      <w:r w:rsidR="008C6D1F" w:rsidRPr="00557106">
        <w:t>otFunct</w:t>
      </w:r>
      <w:r w:rsidR="008C6D1F">
        <w:t xml:space="preserve">” que representan a funciones INLINE del sistema. </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7930322"/>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7930323"/>
      <w:r>
        <w:t>Tipos de sentencias</w:t>
      </w:r>
      <w:bookmarkEnd w:id="137"/>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8" w:name="_Ref53481985"/>
      <w:bookmarkStart w:id="139" w:name="_Toc97930324"/>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7930325"/>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7930326"/>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2" w:name="_Toc97930327"/>
      <w:r>
        <w:t>Bloques Ensamblador</w:t>
      </w:r>
      <w:bookmarkEnd w:id="14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3" w:name="_Toc97930328"/>
      <w:r>
        <w:lastRenderedPageBreak/>
        <w:t>Condicionales</w:t>
      </w:r>
      <w:bookmarkEnd w:id="143"/>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44" w:name="_Toc97930329"/>
      <w:r>
        <w:t>Estructura de una condicional</w:t>
      </w:r>
      <w:bookmarkEnd w:id="14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5" w:name="_Toc97930330"/>
      <w:r>
        <w:t>Instrucciones Exit()</w:t>
      </w:r>
      <w:bookmarkEnd w:id="145"/>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46" w:name="_Hlk96596186"/>
      <w:r>
        <w:br w:type="page"/>
      </w:r>
    </w:p>
    <w:p w14:paraId="333D1749" w14:textId="2CC9C789" w:rsidR="0086080E" w:rsidRDefault="008C25E0" w:rsidP="0086080E">
      <w:pPr>
        <w:pStyle w:val="Ttulo1"/>
      </w:pPr>
      <w:bookmarkStart w:id="147" w:name="_Toc97930331"/>
      <w:r>
        <w:lastRenderedPageBreak/>
        <w:t>BLOQUES ENSAMBLADOR</w:t>
      </w:r>
      <w:bookmarkEnd w:id="14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6"/>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8" w:name="_Toc97930332"/>
      <w:r>
        <w:t>Analizador léxico</w:t>
      </w:r>
      <w:bookmarkEnd w:id="148"/>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lexer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9" w:name="_Toc97930333"/>
      <w:r>
        <w:t xml:space="preserve">Tipos de </w:t>
      </w:r>
      <w:r w:rsidR="0086080E">
        <w:t>Instrucciones ASM</w:t>
      </w:r>
      <w:bookmarkEnd w:id="149"/>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 xml:space="preserve">El tipo “itDEfByte”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0" w:name="_Toc97930334"/>
      <w:r>
        <w:t xml:space="preserve">Instrucciones </w:t>
      </w:r>
      <w:r w:rsidR="00BA24BE">
        <w:t>Comunes</w:t>
      </w:r>
      <w:bookmarkEnd w:id="150"/>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1" w:name="_Toc97930335"/>
      <w:r>
        <w:t>Operandos directos</w:t>
      </w:r>
      <w:bookmarkEnd w:id="15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2" w:name="_Ref70284550"/>
      <w:bookmarkStart w:id="153" w:name="_Ref96945971"/>
      <w:bookmarkStart w:id="154" w:name="_Toc97930336"/>
      <w:r>
        <w:t>Operando</w:t>
      </w:r>
      <w:r w:rsidR="00FA24CB">
        <w:t>s</w:t>
      </w:r>
      <w:r w:rsidR="002E6C48">
        <w:t xml:space="preserve"> </w:t>
      </w:r>
      <w:bookmarkEnd w:id="152"/>
      <w:r w:rsidR="00FA24CB">
        <w:t>elemento</w:t>
      </w:r>
      <w:bookmarkEnd w:id="153"/>
      <w:bookmarkEnd w:id="15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5" w:name="_Toc97930337"/>
      <w:r>
        <w:lastRenderedPageBreak/>
        <w:t>Operandos etiqueta</w:t>
      </w:r>
      <w:bookmarkEnd w:id="15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6" w:name="_Toc97930338"/>
      <w:r>
        <w:t>Operando “$”</w:t>
      </w:r>
      <w:bookmarkEnd w:id="15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7" w:name="_Toc97930339"/>
      <w:r>
        <w:t>O</w:t>
      </w:r>
      <w:r w:rsidR="000744C7">
        <w:t>peraciones</w:t>
      </w:r>
      <w:bookmarkEnd w:id="157"/>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8" w:name="_Toc97930340"/>
      <w:r>
        <w:t xml:space="preserve">Instrucciones </w:t>
      </w:r>
      <w:bookmarkStart w:id="159" w:name="_Ref96635475"/>
      <w:r w:rsidR="009C6F0B">
        <w:t>E</w:t>
      </w:r>
      <w:r>
        <w:t>tiqueta</w:t>
      </w:r>
      <w:bookmarkEnd w:id="158"/>
      <w:bookmarkEnd w:id="159"/>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60" w:name="_Toc97930341"/>
      <w:r>
        <w:t>Directiva ORG</w:t>
      </w:r>
      <w:bookmarkEnd w:id="160"/>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61" w:name="_Toc97930342"/>
      <w:r>
        <w:t>Directiva DB</w:t>
      </w:r>
      <w:bookmarkEnd w:id="161"/>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3"/>
      <w:footerReference w:type="default" r:id="rId8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4AA831" w14:textId="77777777" w:rsidR="00A17FF0" w:rsidRDefault="00A17FF0">
      <w:r>
        <w:separator/>
      </w:r>
    </w:p>
  </w:endnote>
  <w:endnote w:type="continuationSeparator" w:id="0">
    <w:p w14:paraId="3DE66E1C" w14:textId="77777777" w:rsidR="00A17FF0" w:rsidRDefault="00A17F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66DEF0"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A77DB">
      <w:rPr>
        <w:rStyle w:val="Nmerodepgina"/>
        <w:noProof/>
      </w:rPr>
      <w:t>16/03/2022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CF5D0E" w14:textId="77777777" w:rsidR="00A17FF0" w:rsidRDefault="00A17FF0">
      <w:r>
        <w:separator/>
      </w:r>
    </w:p>
  </w:footnote>
  <w:footnote w:type="continuationSeparator" w:id="0">
    <w:p w14:paraId="6E67B4BB" w14:textId="77777777" w:rsidR="00A17FF0" w:rsidRDefault="00A17FF0">
      <w:r>
        <w:continuationSeparator/>
      </w:r>
    </w:p>
  </w:footnote>
  <w:footnote w:id="1">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1"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7"/>
  </w:num>
  <w:num w:numId="3">
    <w:abstractNumId w:val="0"/>
  </w:num>
  <w:num w:numId="4">
    <w:abstractNumId w:val="24"/>
  </w:num>
  <w:num w:numId="5">
    <w:abstractNumId w:val="42"/>
  </w:num>
  <w:num w:numId="6">
    <w:abstractNumId w:val="10"/>
  </w:num>
  <w:num w:numId="7">
    <w:abstractNumId w:val="35"/>
  </w:num>
  <w:num w:numId="8">
    <w:abstractNumId w:val="15"/>
  </w:num>
  <w:num w:numId="9">
    <w:abstractNumId w:val="6"/>
  </w:num>
  <w:num w:numId="10">
    <w:abstractNumId w:val="33"/>
  </w:num>
  <w:num w:numId="11">
    <w:abstractNumId w:val="14"/>
  </w:num>
  <w:num w:numId="12">
    <w:abstractNumId w:val="9"/>
  </w:num>
  <w:num w:numId="13">
    <w:abstractNumId w:val="41"/>
  </w:num>
  <w:num w:numId="14">
    <w:abstractNumId w:val="38"/>
  </w:num>
  <w:num w:numId="15">
    <w:abstractNumId w:val="5"/>
  </w:num>
  <w:num w:numId="16">
    <w:abstractNumId w:val="17"/>
  </w:num>
  <w:num w:numId="17">
    <w:abstractNumId w:val="16"/>
  </w:num>
  <w:num w:numId="18">
    <w:abstractNumId w:val="31"/>
  </w:num>
  <w:num w:numId="19">
    <w:abstractNumId w:val="4"/>
  </w:num>
  <w:num w:numId="20">
    <w:abstractNumId w:val="39"/>
  </w:num>
  <w:num w:numId="21">
    <w:abstractNumId w:val="32"/>
  </w:num>
  <w:num w:numId="22">
    <w:abstractNumId w:val="22"/>
  </w:num>
  <w:num w:numId="23">
    <w:abstractNumId w:val="11"/>
  </w:num>
  <w:num w:numId="24">
    <w:abstractNumId w:val="19"/>
  </w:num>
  <w:num w:numId="25">
    <w:abstractNumId w:val="29"/>
  </w:num>
  <w:num w:numId="26">
    <w:abstractNumId w:val="26"/>
  </w:num>
  <w:num w:numId="27">
    <w:abstractNumId w:val="40"/>
  </w:num>
  <w:num w:numId="28">
    <w:abstractNumId w:val="18"/>
  </w:num>
  <w:num w:numId="29">
    <w:abstractNumId w:val="27"/>
  </w:num>
  <w:num w:numId="30">
    <w:abstractNumId w:val="36"/>
  </w:num>
  <w:num w:numId="31">
    <w:abstractNumId w:val="13"/>
  </w:num>
  <w:num w:numId="32">
    <w:abstractNumId w:val="21"/>
  </w:num>
  <w:num w:numId="33">
    <w:abstractNumId w:val="34"/>
  </w:num>
  <w:num w:numId="34">
    <w:abstractNumId w:val="8"/>
  </w:num>
  <w:num w:numId="35">
    <w:abstractNumId w:val="1"/>
  </w:num>
  <w:num w:numId="36">
    <w:abstractNumId w:val="25"/>
  </w:num>
  <w:num w:numId="37">
    <w:abstractNumId w:val="23"/>
  </w:num>
  <w:num w:numId="38">
    <w:abstractNumId w:val="28"/>
  </w:num>
  <w:num w:numId="39">
    <w:abstractNumId w:val="20"/>
  </w:num>
  <w:num w:numId="40">
    <w:abstractNumId w:val="12"/>
  </w:num>
  <w:num w:numId="41">
    <w:abstractNumId w:val="3"/>
  </w:num>
  <w:num w:numId="42">
    <w:abstractNumId w:val="2"/>
  </w:num>
  <w:num w:numId="43">
    <w:abstractNumId w:val="30"/>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658"/>
    <w:rsid w:val="0018578A"/>
    <w:rsid w:val="00185BCA"/>
    <w:rsid w:val="00186C97"/>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6BD"/>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E33"/>
    <w:rsid w:val="00867A40"/>
    <w:rsid w:val="00870F9B"/>
    <w:rsid w:val="00872023"/>
    <w:rsid w:val="00872E6D"/>
    <w:rsid w:val="008736A2"/>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1E92"/>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A2"/>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8E2"/>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FF1"/>
    <w:rsid w:val="00EF4041"/>
    <w:rsid w:val="00EF52D1"/>
    <w:rsid w:val="00EF6CC7"/>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Data" Target="diagrams/data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Colors" Target="diagrams/colors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diagramLayout" Target="diagrams/layout3.xml"/><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22.png"/><Relationship Id="rId52" Type="http://schemas.microsoft.com/office/2007/relationships/diagramDrawing" Target="diagrams/drawing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QuickStyle" Target="diagrams/quickStyle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14482</TotalTime>
  <Pages>110</Pages>
  <Words>23258</Words>
  <Characters>132575</Characters>
  <Application>Microsoft Office Word</Application>
  <DocSecurity>0</DocSecurity>
  <Lines>1104</Lines>
  <Paragraphs>311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155522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66</cp:revision>
  <cp:lastPrinted>2017-04-07T22:58:00Z</cp:lastPrinted>
  <dcterms:created xsi:type="dcterms:W3CDTF">2022-02-24T16:51:00Z</dcterms:created>
  <dcterms:modified xsi:type="dcterms:W3CDTF">2022-03-21T17:01:00Z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