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19C11" w14:textId="77777777" w:rsidR="002C1063" w:rsidRPr="002C1063" w:rsidRDefault="002C1063" w:rsidP="002C1063">
      <w:pPr>
        <w:spacing w:before="153" w:after="0" w:line="240" w:lineRule="auto"/>
        <w:jc w:val="both"/>
        <w:outlineLvl w:val="1"/>
        <w:rPr>
          <w:rFonts w:ascii="inherit" w:eastAsia="Times New Roman" w:hAnsi="inherit" w:cs="Helvetica"/>
          <w:b/>
          <w:bCs/>
          <w:color w:val="000000"/>
          <w:sz w:val="33"/>
          <w:szCs w:val="33"/>
          <w:lang w:val="en-GB" w:eastAsia="en-GB"/>
        </w:rPr>
      </w:pPr>
      <w:r w:rsidRPr="002C1063">
        <w:rPr>
          <w:rFonts w:ascii="inherit" w:eastAsia="Times New Roman" w:hAnsi="inherit" w:cs="Helvetica"/>
          <w:b/>
          <w:bCs/>
          <w:color w:val="000000"/>
          <w:sz w:val="33"/>
          <w:szCs w:val="33"/>
          <w:lang w:val="en-GB" w:eastAsia="en-GB"/>
        </w:rPr>
        <w:t>CAFI Land Classification System</w:t>
      </w:r>
    </w:p>
    <w:p w14:paraId="7A5D3980" w14:textId="77777777" w:rsidR="002C1063" w:rsidRPr="002C1063" w:rsidRDefault="002C1063" w:rsidP="002C1063">
      <w:pPr>
        <w:spacing w:before="240" w:after="0" w:line="240" w:lineRule="auto"/>
        <w:jc w:val="both"/>
        <w:rPr>
          <w:rFonts w:ascii="Helvetica" w:eastAsia="Times New Roman" w:hAnsi="Helvetica" w:cs="Helvetica"/>
          <w:color w:val="000000"/>
          <w:sz w:val="21"/>
          <w:szCs w:val="21"/>
          <w:lang w:val="en-GB" w:eastAsia="en-GB"/>
        </w:rPr>
      </w:pPr>
      <w:r w:rsidRPr="002C1063">
        <w:rPr>
          <w:rFonts w:ascii="Helvetica" w:eastAsia="Times New Roman" w:hAnsi="Helvetica" w:cs="Helvetica"/>
          <w:color w:val="000000"/>
          <w:sz w:val="21"/>
          <w:szCs w:val="21"/>
          <w:lang w:val="en-GB" w:eastAsia="en-GB"/>
        </w:rPr>
        <w:t>Le système de classification de la couverture terrestre (LCCS v.31) est un outil reconnu par l'Organisation internationale de normalisation (ISO) pour classer l'utilisation / la couverture des terres dans une zone.</w:t>
      </w:r>
    </w:p>
    <w:p w14:paraId="6573D11E" w14:textId="77777777" w:rsidR="002C1063" w:rsidRPr="002C1063" w:rsidRDefault="002C1063" w:rsidP="002C1063">
      <w:pPr>
        <w:spacing w:before="240" w:after="0" w:line="240" w:lineRule="auto"/>
        <w:jc w:val="both"/>
        <w:rPr>
          <w:rFonts w:ascii="Helvetica" w:eastAsia="Times New Roman" w:hAnsi="Helvetica" w:cs="Helvetica"/>
          <w:color w:val="000000"/>
          <w:sz w:val="21"/>
          <w:szCs w:val="21"/>
          <w:lang w:val="en-GB" w:eastAsia="en-GB"/>
        </w:rPr>
      </w:pPr>
      <w:r w:rsidRPr="002C1063">
        <w:rPr>
          <w:rFonts w:ascii="Helvetica" w:eastAsia="Times New Roman" w:hAnsi="Helvetica" w:cs="Helvetica"/>
          <w:color w:val="000000"/>
          <w:sz w:val="21"/>
          <w:szCs w:val="21"/>
          <w:lang w:val="en-GB" w:eastAsia="en-GB"/>
        </w:rPr>
        <w:t>Le CAFI et la FAO appuient le projet global : «Estimation de la déforestation et de la dégradation des forêts et des facteurs directs actuels et historiques associés à ces processus à l’aide de SEPAL ». L’objectif du projet est mettre au point une méthode globale, standard et à grande échelle d’estimation de la dynamique des forêts, en ayant recours à des solutions de cloud-computing et à des outils open source pour cartographier les perturbations et quantifier les moteurs directs et historiques de la déforestation et de la dégradation des forêts.</w:t>
      </w:r>
    </w:p>
    <w:p w14:paraId="272A6236" w14:textId="2AB1E7B1" w:rsidR="002C1063" w:rsidRDefault="002C1063" w:rsidP="002C1063">
      <w:pPr>
        <w:spacing w:before="240" w:after="0" w:line="240" w:lineRule="auto"/>
        <w:jc w:val="both"/>
        <w:rPr>
          <w:rFonts w:ascii="Helvetica" w:eastAsia="Times New Roman" w:hAnsi="Helvetica" w:cs="Helvetica"/>
          <w:color w:val="000000"/>
          <w:sz w:val="21"/>
          <w:szCs w:val="21"/>
          <w:lang w:val="en-GB" w:eastAsia="en-GB"/>
        </w:rPr>
      </w:pPr>
      <w:r w:rsidRPr="002C1063">
        <w:rPr>
          <w:rFonts w:ascii="Helvetica" w:eastAsia="Times New Roman" w:hAnsi="Helvetica" w:cs="Helvetica"/>
          <w:color w:val="000000"/>
          <w:sz w:val="21"/>
          <w:szCs w:val="21"/>
          <w:lang w:val="en-GB" w:eastAsia="en-GB"/>
        </w:rPr>
        <w:t>Dans ce contexte, une première formation en ligne aux outils LCML, Collect Earth et SEPAL a été réalisée pour les équipes techniques des différents pays partenaires du projet.</w:t>
      </w:r>
    </w:p>
    <w:p w14:paraId="06123377" w14:textId="77777777" w:rsidR="002C1063" w:rsidRPr="002C1063" w:rsidRDefault="002C1063" w:rsidP="002C1063">
      <w:pPr>
        <w:spacing w:before="240" w:after="0" w:line="240" w:lineRule="auto"/>
        <w:jc w:val="both"/>
        <w:rPr>
          <w:rFonts w:ascii="Helvetica" w:eastAsia="Times New Roman" w:hAnsi="Helvetica" w:cs="Helvetica"/>
          <w:color w:val="000000"/>
          <w:sz w:val="21"/>
          <w:szCs w:val="21"/>
          <w:lang w:val="en-GB" w:eastAsia="en-GB"/>
        </w:rPr>
      </w:pPr>
    </w:p>
    <w:p w14:paraId="20068431" w14:textId="77777777" w:rsidR="002C1063" w:rsidRPr="002C1063" w:rsidRDefault="002C1063" w:rsidP="002C1063">
      <w:pPr>
        <w:spacing w:before="186" w:after="0" w:line="240" w:lineRule="auto"/>
        <w:jc w:val="both"/>
        <w:outlineLvl w:val="2"/>
        <w:rPr>
          <w:rFonts w:ascii="inherit" w:eastAsia="Times New Roman" w:hAnsi="inherit" w:cs="Helvetica"/>
          <w:b/>
          <w:bCs/>
          <w:color w:val="000000"/>
          <w:sz w:val="27"/>
          <w:szCs w:val="27"/>
          <w:lang w:val="en-GB" w:eastAsia="en-GB"/>
        </w:rPr>
      </w:pPr>
      <w:r w:rsidRPr="002C1063">
        <w:rPr>
          <w:rFonts w:ascii="inherit" w:eastAsia="Times New Roman" w:hAnsi="inherit" w:cs="Helvetica"/>
          <w:b/>
          <w:bCs/>
          <w:color w:val="000000"/>
          <w:sz w:val="27"/>
          <w:szCs w:val="27"/>
          <w:lang w:val="en-GB" w:eastAsia="en-GB"/>
        </w:rPr>
        <w:t>Principes et Définition</w:t>
      </w:r>
    </w:p>
    <w:p w14:paraId="350A05B9" w14:textId="77777777" w:rsidR="002C1063" w:rsidRPr="002C1063" w:rsidRDefault="002C1063" w:rsidP="002C1063">
      <w:pPr>
        <w:spacing w:before="240" w:after="0" w:line="240" w:lineRule="auto"/>
        <w:jc w:val="both"/>
        <w:rPr>
          <w:rFonts w:ascii="Helvetica" w:eastAsia="Times New Roman" w:hAnsi="Helvetica" w:cs="Helvetica"/>
          <w:color w:val="000000"/>
          <w:sz w:val="21"/>
          <w:szCs w:val="21"/>
          <w:lang w:val="en-GB" w:eastAsia="en-GB"/>
        </w:rPr>
      </w:pPr>
      <w:r w:rsidRPr="002C1063">
        <w:rPr>
          <w:rFonts w:ascii="Helvetica" w:eastAsia="Times New Roman" w:hAnsi="Helvetica" w:cs="Helvetica"/>
          <w:color w:val="000000"/>
          <w:sz w:val="21"/>
          <w:szCs w:val="21"/>
          <w:lang w:val="en-GB" w:eastAsia="en-GB"/>
        </w:rPr>
        <w:t>LCML est un méta-langage innovant orienté objet qui peut garantir une grande flexibilité dans la description / caractérisation des caractéristiques du terrain; depuis 2012, une norme ISO (ISO 19144-2) (Di Gregorio 2016). Tout type de changement dans le LCML doit être modifié plus tôt doit être modifié par l'ISO. LCML met l'accent sur le modèle de distribution spatiale et l'apparence générale d'un élément de végétation réel qui est parfaitement applicable au concept de cartographie forestière dans les pays de la région CAFI car;</w:t>
      </w:r>
    </w:p>
    <w:p w14:paraId="5C8A4D57" w14:textId="77777777" w:rsidR="002C1063" w:rsidRPr="002C1063" w:rsidRDefault="002C1063" w:rsidP="002C1063">
      <w:pPr>
        <w:spacing w:before="240" w:after="0" w:line="240" w:lineRule="auto"/>
        <w:jc w:val="both"/>
        <w:rPr>
          <w:rFonts w:ascii="Helvetica" w:eastAsia="Times New Roman" w:hAnsi="Helvetica" w:cs="Helvetica"/>
          <w:color w:val="000000"/>
          <w:sz w:val="21"/>
          <w:szCs w:val="21"/>
          <w:lang w:val="en-GB" w:eastAsia="en-GB"/>
        </w:rPr>
      </w:pPr>
      <w:r w:rsidRPr="002C1063">
        <w:rPr>
          <w:rFonts w:ascii="Helvetica" w:eastAsia="Times New Roman" w:hAnsi="Helvetica" w:cs="Helvetica"/>
          <w:color w:val="000000"/>
          <w:sz w:val="21"/>
          <w:szCs w:val="21"/>
          <w:lang w:val="en-GB" w:eastAsia="en-GB"/>
        </w:rPr>
        <w:t>• Il normalise le processus de création des classes.</w:t>
      </w:r>
    </w:p>
    <w:p w14:paraId="40C5F938" w14:textId="77777777" w:rsidR="002C1063" w:rsidRPr="002C1063" w:rsidRDefault="002C1063" w:rsidP="002C1063">
      <w:pPr>
        <w:spacing w:before="240" w:after="0" w:line="240" w:lineRule="auto"/>
        <w:jc w:val="both"/>
        <w:rPr>
          <w:rFonts w:ascii="Helvetica" w:eastAsia="Times New Roman" w:hAnsi="Helvetica" w:cs="Helvetica"/>
          <w:color w:val="000000"/>
          <w:sz w:val="21"/>
          <w:szCs w:val="21"/>
          <w:lang w:val="en-GB" w:eastAsia="en-GB"/>
        </w:rPr>
      </w:pPr>
      <w:r w:rsidRPr="002C1063">
        <w:rPr>
          <w:rFonts w:ascii="Helvetica" w:eastAsia="Times New Roman" w:hAnsi="Helvetica" w:cs="Helvetica"/>
          <w:color w:val="000000"/>
          <w:sz w:val="21"/>
          <w:szCs w:val="21"/>
          <w:lang w:val="en-GB" w:eastAsia="en-GB"/>
        </w:rPr>
        <w:t>• Il fournit un cadre général de règles qui peuvent être utilisées pour créer des légendes spécifiques.</w:t>
      </w:r>
    </w:p>
    <w:p w14:paraId="05F6A16E" w14:textId="77777777" w:rsidR="002C1063" w:rsidRPr="002C1063" w:rsidRDefault="002C1063" w:rsidP="002C1063">
      <w:pPr>
        <w:spacing w:before="240" w:after="0" w:line="240" w:lineRule="auto"/>
        <w:jc w:val="both"/>
        <w:rPr>
          <w:rFonts w:ascii="Helvetica" w:eastAsia="Times New Roman" w:hAnsi="Helvetica" w:cs="Helvetica"/>
          <w:color w:val="000000"/>
          <w:sz w:val="21"/>
          <w:szCs w:val="21"/>
          <w:lang w:val="en-GB" w:eastAsia="en-GB"/>
        </w:rPr>
      </w:pPr>
      <w:r w:rsidRPr="002C1063">
        <w:rPr>
          <w:rFonts w:ascii="Helvetica" w:eastAsia="Times New Roman" w:hAnsi="Helvetica" w:cs="Helvetica"/>
          <w:color w:val="000000"/>
          <w:sz w:val="21"/>
          <w:szCs w:val="21"/>
          <w:lang w:val="en-GB" w:eastAsia="en-GB"/>
        </w:rPr>
        <w:t>• S'il est mis en œuvre, il rassemblera la communauté de l'occupation des sols pour créer une compréhension mutuelle des nomenclatures d'occupation des sols afin de produire des ensembles de données mondiaux, régionaux et nationaux pouvant être réconciliés à différentes échelles, niveaux de détail et emplacement géographique.</w:t>
      </w:r>
    </w:p>
    <w:p w14:paraId="619BA265" w14:textId="77777777" w:rsidR="002C1063" w:rsidRPr="002C1063" w:rsidRDefault="002C1063" w:rsidP="002C1063">
      <w:pPr>
        <w:spacing w:before="240" w:after="0" w:line="240" w:lineRule="auto"/>
        <w:jc w:val="both"/>
        <w:rPr>
          <w:rFonts w:ascii="Helvetica" w:eastAsia="Times New Roman" w:hAnsi="Helvetica" w:cs="Helvetica"/>
          <w:color w:val="000000"/>
          <w:sz w:val="21"/>
          <w:szCs w:val="21"/>
          <w:lang w:val="en-GB" w:eastAsia="en-GB"/>
        </w:rPr>
      </w:pPr>
      <w:r w:rsidRPr="002C1063">
        <w:rPr>
          <w:rFonts w:ascii="Helvetica" w:eastAsia="Times New Roman" w:hAnsi="Helvetica" w:cs="Helvetica"/>
          <w:color w:val="000000"/>
          <w:sz w:val="21"/>
          <w:szCs w:val="21"/>
          <w:lang w:val="en-GB" w:eastAsia="en-GB"/>
        </w:rPr>
        <w:t>• Il peut en outre être utilisé pour spécifier n'importe quelle caractéristique de couverture terrestre n'importe où</w:t>
      </w:r>
    </w:p>
    <w:p w14:paraId="15CA9530" w14:textId="034D1E9F" w:rsidR="00E77307" w:rsidRDefault="00E77307" w:rsidP="002C1063">
      <w:pPr>
        <w:jc w:val="both"/>
        <w:rPr>
          <w:rFonts w:asciiTheme="minorBidi" w:hAnsiTheme="minorBidi"/>
          <w:b/>
          <w:bCs/>
          <w:sz w:val="36"/>
          <w:szCs w:val="36"/>
        </w:rPr>
      </w:pPr>
    </w:p>
    <w:p w14:paraId="74ABC21D" w14:textId="2157B810" w:rsidR="002C1063" w:rsidRDefault="002C1063" w:rsidP="002C1063">
      <w:pPr>
        <w:jc w:val="both"/>
        <w:rPr>
          <w:rFonts w:asciiTheme="minorBidi" w:hAnsiTheme="minorBidi"/>
          <w:b/>
          <w:bCs/>
          <w:sz w:val="36"/>
          <w:szCs w:val="36"/>
        </w:rPr>
      </w:pPr>
      <w:r>
        <w:rPr>
          <w:noProof/>
          <w:lang w:val="en-GB" w:eastAsia="en-GB"/>
        </w:rPr>
        <w:lastRenderedPageBreak/>
        <w:drawing>
          <wp:inline distT="0" distB="0" distL="0" distR="0" wp14:anchorId="2BF6F899" wp14:editId="3CABD30F">
            <wp:extent cx="5324475" cy="287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4475" cy="2876550"/>
                    </a:xfrm>
                    <a:prstGeom prst="rect">
                      <a:avLst/>
                    </a:prstGeom>
                  </pic:spPr>
                </pic:pic>
              </a:graphicData>
            </a:graphic>
          </wp:inline>
        </w:drawing>
      </w:r>
    </w:p>
    <w:p w14:paraId="3C180ED5" w14:textId="3D3CFC28" w:rsidR="002C1063" w:rsidRDefault="002C1063" w:rsidP="002C1063">
      <w:pPr>
        <w:jc w:val="both"/>
        <w:rPr>
          <w:rFonts w:asciiTheme="minorBidi" w:hAnsiTheme="minorBidi"/>
          <w:b/>
          <w:bCs/>
          <w:sz w:val="36"/>
          <w:szCs w:val="36"/>
        </w:rPr>
      </w:pPr>
      <w:r>
        <w:rPr>
          <w:noProof/>
          <w:lang w:val="en-GB" w:eastAsia="en-GB"/>
        </w:rPr>
        <w:drawing>
          <wp:inline distT="0" distB="0" distL="0" distR="0" wp14:anchorId="1D804FE1" wp14:editId="1D3E83C6">
            <wp:extent cx="4935233"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0460" cy="3814035"/>
                    </a:xfrm>
                    <a:prstGeom prst="rect">
                      <a:avLst/>
                    </a:prstGeom>
                  </pic:spPr>
                </pic:pic>
              </a:graphicData>
            </a:graphic>
          </wp:inline>
        </w:drawing>
      </w:r>
    </w:p>
    <w:p w14:paraId="47F2D5A8" w14:textId="77777777" w:rsidR="002C1063" w:rsidRPr="002C1063" w:rsidRDefault="002C1063" w:rsidP="002C1063">
      <w:pPr>
        <w:spacing w:before="186" w:after="0" w:line="240" w:lineRule="auto"/>
        <w:jc w:val="both"/>
        <w:outlineLvl w:val="2"/>
        <w:rPr>
          <w:rFonts w:ascii="inherit" w:eastAsia="Times New Roman" w:hAnsi="inherit" w:cs="Helvetica"/>
          <w:b/>
          <w:bCs/>
          <w:color w:val="000000"/>
          <w:sz w:val="27"/>
          <w:szCs w:val="27"/>
          <w:lang w:val="en-GB" w:eastAsia="en-GB"/>
        </w:rPr>
      </w:pPr>
      <w:r w:rsidRPr="002C1063">
        <w:rPr>
          <w:rFonts w:ascii="inherit" w:eastAsia="Times New Roman" w:hAnsi="inherit" w:cs="Helvetica"/>
          <w:b/>
          <w:bCs/>
          <w:color w:val="000000"/>
          <w:sz w:val="27"/>
          <w:szCs w:val="27"/>
          <w:lang w:val="en-GB" w:eastAsia="en-GB"/>
        </w:rPr>
        <w:t>Processus de développement du système de représentation foncière CAFI</w:t>
      </w:r>
    </w:p>
    <w:p w14:paraId="49FB6745" w14:textId="77777777" w:rsidR="002C1063" w:rsidRPr="002C1063" w:rsidRDefault="002C1063" w:rsidP="002C1063">
      <w:pPr>
        <w:spacing w:before="240" w:after="0" w:line="240" w:lineRule="auto"/>
        <w:jc w:val="both"/>
        <w:rPr>
          <w:rFonts w:ascii="Helvetica" w:eastAsia="Times New Roman" w:hAnsi="Helvetica" w:cs="Helvetica"/>
          <w:color w:val="000000"/>
          <w:sz w:val="21"/>
          <w:szCs w:val="21"/>
          <w:lang w:val="en-GB" w:eastAsia="en-GB"/>
        </w:rPr>
      </w:pPr>
      <w:r w:rsidRPr="002C1063">
        <w:rPr>
          <w:rFonts w:ascii="Helvetica" w:eastAsia="Times New Roman" w:hAnsi="Helvetica" w:cs="Helvetica"/>
          <w:color w:val="000000"/>
          <w:sz w:val="21"/>
          <w:szCs w:val="21"/>
          <w:lang w:val="en-GB" w:eastAsia="en-GB"/>
        </w:rPr>
        <w:t>Le système de représentation des terres CAFI est le résultat de plusieurs processus de collecte de données, de traduction, d'analyse et d'identification des lacunes des processus de cartographie de l'occupation / utilisation des terres existantes. Il s'agit d'un processus en cours avec un démarrage en 2020 avec les définitions des activités des partenaires pour soutenir le développement d'une carte de la couverture terrestre et de l'inventaire forestier national.</w:t>
      </w:r>
    </w:p>
    <w:p w14:paraId="4CB5A8B8" w14:textId="77777777" w:rsidR="002C1063" w:rsidRPr="002C1063" w:rsidRDefault="002C1063" w:rsidP="002C1063">
      <w:pPr>
        <w:spacing w:before="240" w:after="0" w:line="240" w:lineRule="auto"/>
        <w:jc w:val="both"/>
        <w:rPr>
          <w:rFonts w:ascii="Helvetica" w:eastAsia="Times New Roman" w:hAnsi="Helvetica" w:cs="Helvetica"/>
          <w:color w:val="000000"/>
          <w:sz w:val="21"/>
          <w:szCs w:val="21"/>
          <w:lang w:val="en-GB" w:eastAsia="en-GB"/>
        </w:rPr>
      </w:pPr>
      <w:r w:rsidRPr="002C1063">
        <w:rPr>
          <w:rFonts w:ascii="Helvetica" w:eastAsia="Times New Roman" w:hAnsi="Helvetica" w:cs="Helvetica"/>
          <w:color w:val="000000"/>
          <w:sz w:val="21"/>
          <w:szCs w:val="21"/>
          <w:lang w:val="en-GB" w:eastAsia="en-GB"/>
        </w:rPr>
        <w:lastRenderedPageBreak/>
        <w:t>Les légendes des cartes nationales existantes de couverture / utilisation des terres ont été rassemblées et certaines seront traduites à l'aide de LCCS v.3. Cette première étape a permis d’identifier les lacunes des légendes existantes et d’identifier la signification des classes d’entités terrestres compte tenu de l’objectif de l’institution impliqué dans le développement de la carte de l’occupation du sol.</w:t>
      </w:r>
    </w:p>
    <w:p w14:paraId="70166ED6" w14:textId="77777777" w:rsidR="002C1063" w:rsidRPr="002C1063" w:rsidRDefault="002C1063" w:rsidP="002C1063">
      <w:pPr>
        <w:spacing w:before="240" w:after="0" w:line="240" w:lineRule="auto"/>
        <w:jc w:val="both"/>
        <w:outlineLvl w:val="3"/>
        <w:rPr>
          <w:rFonts w:ascii="inherit" w:eastAsia="Times New Roman" w:hAnsi="inherit" w:cs="Helvetica"/>
          <w:b/>
          <w:bCs/>
          <w:color w:val="000000"/>
          <w:sz w:val="21"/>
          <w:szCs w:val="21"/>
          <w:lang w:val="en-GB" w:eastAsia="en-GB"/>
        </w:rPr>
      </w:pPr>
      <w:r w:rsidRPr="002C1063">
        <w:rPr>
          <w:rFonts w:ascii="inherit" w:eastAsia="Times New Roman" w:hAnsi="inherit" w:cs="Helvetica"/>
          <w:b/>
          <w:bCs/>
          <w:color w:val="000000"/>
          <w:sz w:val="21"/>
          <w:szCs w:val="21"/>
          <w:lang w:val="en-GB" w:eastAsia="en-GB"/>
        </w:rPr>
        <w:t>Collecte de données nationales sur le terrain</w:t>
      </w:r>
    </w:p>
    <w:p w14:paraId="27A6F956" w14:textId="77777777" w:rsidR="002C1063" w:rsidRPr="002C1063" w:rsidRDefault="002C1063" w:rsidP="002C1063">
      <w:pPr>
        <w:spacing w:before="240" w:after="0" w:line="240" w:lineRule="auto"/>
        <w:jc w:val="both"/>
        <w:rPr>
          <w:rFonts w:ascii="Helvetica" w:eastAsia="Times New Roman" w:hAnsi="Helvetica" w:cs="Helvetica"/>
          <w:color w:val="000000"/>
          <w:sz w:val="21"/>
          <w:szCs w:val="21"/>
          <w:lang w:val="en-GB" w:eastAsia="en-GB"/>
        </w:rPr>
      </w:pPr>
      <w:r w:rsidRPr="002C1063">
        <w:rPr>
          <w:rFonts w:ascii="Helvetica" w:eastAsia="Times New Roman" w:hAnsi="Helvetica" w:cs="Helvetica"/>
          <w:color w:val="000000"/>
          <w:sz w:val="21"/>
          <w:szCs w:val="21"/>
          <w:lang w:val="en-GB" w:eastAsia="en-GB"/>
        </w:rPr>
        <w:t>L'objectif de ce processus de collecte de données sur le terrain était de collecter des données sur le terrain à l'aide d'un manuel spécifique élaboré pour le développement du système national de représentation des terres et pour l'inventaire forestier national.</w:t>
      </w:r>
    </w:p>
    <w:p w14:paraId="4BB819CE" w14:textId="77777777" w:rsidR="002C1063" w:rsidRPr="002C1063" w:rsidRDefault="002C1063" w:rsidP="002C1063">
      <w:pPr>
        <w:spacing w:before="240" w:after="0" w:line="240" w:lineRule="auto"/>
        <w:jc w:val="both"/>
        <w:outlineLvl w:val="3"/>
        <w:rPr>
          <w:rFonts w:ascii="inherit" w:eastAsia="Times New Roman" w:hAnsi="inherit" w:cs="Helvetica"/>
          <w:b/>
          <w:bCs/>
          <w:color w:val="000000"/>
          <w:sz w:val="21"/>
          <w:szCs w:val="21"/>
          <w:lang w:val="en-GB" w:eastAsia="en-GB"/>
        </w:rPr>
      </w:pPr>
      <w:r w:rsidRPr="002C1063">
        <w:rPr>
          <w:rFonts w:ascii="inherit" w:eastAsia="Times New Roman" w:hAnsi="inherit" w:cs="Helvetica"/>
          <w:b/>
          <w:bCs/>
          <w:color w:val="000000"/>
          <w:sz w:val="21"/>
          <w:szCs w:val="21"/>
          <w:lang w:val="en-GB" w:eastAsia="en-GB"/>
        </w:rPr>
        <w:t>Collecte de données, Atelier et Consultations nationales</w:t>
      </w:r>
    </w:p>
    <w:p w14:paraId="70C2CB33" w14:textId="5DD96077" w:rsidR="002C1063" w:rsidRDefault="002C1063" w:rsidP="002C1063">
      <w:pPr>
        <w:spacing w:before="240" w:after="0" w:line="240" w:lineRule="auto"/>
        <w:jc w:val="both"/>
        <w:rPr>
          <w:rFonts w:ascii="Helvetica" w:eastAsia="Times New Roman" w:hAnsi="Helvetica" w:cs="Helvetica"/>
          <w:color w:val="000000"/>
          <w:sz w:val="21"/>
          <w:szCs w:val="21"/>
          <w:lang w:val="en-GB" w:eastAsia="en-GB"/>
        </w:rPr>
      </w:pPr>
      <w:r w:rsidRPr="002C1063">
        <w:rPr>
          <w:rFonts w:ascii="Helvetica" w:eastAsia="Times New Roman" w:hAnsi="Helvetica" w:cs="Helvetica"/>
          <w:color w:val="000000"/>
          <w:sz w:val="21"/>
          <w:szCs w:val="21"/>
          <w:lang w:val="en-GB" w:eastAsia="en-GB"/>
        </w:rPr>
        <w:t>La première formation CAFI-FAO sur le système de classification des terres a eu lieu le 10 mars 2021. Plusieurs documents sont à développer pour soutenir les activités de cartographie de l'occupation des sols existantes dans ces pays de la région. Cette série de formations sont exécutées jusqu'à fin Novembre 2021</w:t>
      </w:r>
      <w:r>
        <w:rPr>
          <w:rFonts w:ascii="Helvetica" w:eastAsia="Times New Roman" w:hAnsi="Helvetica" w:cs="Helvetica"/>
          <w:color w:val="000000"/>
          <w:sz w:val="21"/>
          <w:szCs w:val="21"/>
          <w:lang w:val="en-GB" w:eastAsia="en-GB"/>
        </w:rPr>
        <w:t>.</w:t>
      </w:r>
    </w:p>
    <w:p w14:paraId="77568EEB" w14:textId="77777777" w:rsidR="002C1063" w:rsidRPr="002C1063" w:rsidRDefault="002C1063" w:rsidP="002C1063">
      <w:pPr>
        <w:spacing w:before="240" w:after="0" w:line="240" w:lineRule="auto"/>
        <w:jc w:val="both"/>
        <w:rPr>
          <w:rFonts w:ascii="Helvetica" w:eastAsia="Times New Roman" w:hAnsi="Helvetica" w:cs="Helvetica"/>
          <w:color w:val="000000"/>
          <w:sz w:val="21"/>
          <w:szCs w:val="21"/>
          <w:lang w:val="en-GB" w:eastAsia="en-GB"/>
        </w:rPr>
      </w:pPr>
    </w:p>
    <w:p w14:paraId="67A259CE" w14:textId="4EB5B778" w:rsidR="002C1063" w:rsidRDefault="002C1063" w:rsidP="002C1063">
      <w:pPr>
        <w:jc w:val="both"/>
        <w:rPr>
          <w:rFonts w:asciiTheme="minorBidi" w:hAnsiTheme="minorBidi"/>
          <w:b/>
          <w:bCs/>
          <w:sz w:val="36"/>
          <w:szCs w:val="36"/>
        </w:rPr>
      </w:pPr>
      <w:r>
        <w:rPr>
          <w:noProof/>
          <w:lang w:val="en-GB" w:eastAsia="en-GB"/>
        </w:rPr>
        <w:drawing>
          <wp:inline distT="0" distB="0" distL="0" distR="0" wp14:anchorId="25F269E8" wp14:editId="02A61D09">
            <wp:extent cx="5943600" cy="351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11550"/>
                    </a:xfrm>
                    <a:prstGeom prst="rect">
                      <a:avLst/>
                    </a:prstGeom>
                  </pic:spPr>
                </pic:pic>
              </a:graphicData>
            </a:graphic>
          </wp:inline>
        </w:drawing>
      </w:r>
    </w:p>
    <w:p w14:paraId="2C4C583A" w14:textId="29BB0BC3" w:rsidR="002C1063" w:rsidRDefault="002C1063" w:rsidP="002C1063">
      <w:pPr>
        <w:jc w:val="both"/>
        <w:rPr>
          <w:rFonts w:asciiTheme="minorBidi" w:hAnsiTheme="minorBidi"/>
          <w:b/>
          <w:bCs/>
          <w:sz w:val="36"/>
          <w:szCs w:val="36"/>
        </w:rPr>
      </w:pPr>
    </w:p>
    <w:p w14:paraId="07BF0851" w14:textId="46AEC20C" w:rsidR="002C1063" w:rsidRDefault="002C1063" w:rsidP="002C1063">
      <w:pPr>
        <w:jc w:val="both"/>
        <w:rPr>
          <w:rFonts w:asciiTheme="minorBidi" w:hAnsiTheme="minorBidi"/>
          <w:b/>
          <w:bCs/>
          <w:sz w:val="36"/>
          <w:szCs w:val="36"/>
        </w:rPr>
      </w:pPr>
    </w:p>
    <w:p w14:paraId="39573029" w14:textId="60DF5AA7" w:rsidR="002C1063" w:rsidRDefault="002C1063" w:rsidP="002C1063">
      <w:pPr>
        <w:jc w:val="both"/>
        <w:rPr>
          <w:rFonts w:asciiTheme="minorBidi" w:hAnsiTheme="minorBidi"/>
          <w:b/>
          <w:bCs/>
          <w:sz w:val="36"/>
          <w:szCs w:val="36"/>
        </w:rPr>
      </w:pPr>
    </w:p>
    <w:p w14:paraId="73A596A0" w14:textId="77777777" w:rsidR="002C1063" w:rsidRDefault="002C1063" w:rsidP="002C1063">
      <w:pPr>
        <w:jc w:val="both"/>
        <w:rPr>
          <w:rFonts w:asciiTheme="minorBidi" w:hAnsiTheme="minorBidi"/>
          <w:b/>
          <w:bCs/>
          <w:sz w:val="36"/>
          <w:szCs w:val="36"/>
        </w:rPr>
      </w:pPr>
    </w:p>
    <w:p w14:paraId="2F111E0A" w14:textId="7ADE2240" w:rsidR="002C1063" w:rsidRDefault="002C1063" w:rsidP="002C1063">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Among the classes selected for the CAFI-FAO project, each represent a particular land cover specificity</w:t>
      </w:r>
    </w:p>
    <w:p w14:paraId="36D4DC53" w14:textId="1F15255C" w:rsidR="002C1063" w:rsidRDefault="002C1063" w:rsidP="002C1063">
      <w:pPr>
        <w:jc w:val="both"/>
        <w:rPr>
          <w:rFonts w:ascii="Helvetica" w:hAnsi="Helvetica" w:cs="Helvetica"/>
          <w:color w:val="000000"/>
          <w:sz w:val="21"/>
          <w:szCs w:val="21"/>
          <w:shd w:val="clear" w:color="auto" w:fill="FFFFFF"/>
        </w:rPr>
      </w:pPr>
    </w:p>
    <w:p w14:paraId="0946FFA9" w14:textId="6DDFB6FF" w:rsidR="002C1063" w:rsidRDefault="002C1063" w:rsidP="002C1063">
      <w:pPr>
        <w:jc w:val="both"/>
        <w:rPr>
          <w:rFonts w:ascii="Helvetica" w:hAnsi="Helvetica" w:cs="Helvetica"/>
          <w:color w:val="000000"/>
          <w:sz w:val="21"/>
          <w:szCs w:val="21"/>
          <w:shd w:val="clear" w:color="auto" w:fill="FFFFFF"/>
        </w:rPr>
      </w:pPr>
      <w:r>
        <w:rPr>
          <w:noProof/>
          <w:lang w:val="en-GB" w:eastAsia="en-GB"/>
        </w:rPr>
        <w:drawing>
          <wp:inline distT="0" distB="0" distL="0" distR="0" wp14:anchorId="3A7C548A" wp14:editId="1ABBE4C0">
            <wp:extent cx="5781675" cy="162949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5100" cy="1638913"/>
                    </a:xfrm>
                    <a:prstGeom prst="rect">
                      <a:avLst/>
                    </a:prstGeom>
                  </pic:spPr>
                </pic:pic>
              </a:graphicData>
            </a:graphic>
          </wp:inline>
        </w:drawing>
      </w:r>
    </w:p>
    <w:p w14:paraId="0FF22C8D" w14:textId="58A3D126" w:rsidR="002C1063" w:rsidRDefault="002C1063" w:rsidP="002C1063">
      <w:pPr>
        <w:jc w:val="both"/>
        <w:rPr>
          <w:rFonts w:ascii="Helvetica" w:hAnsi="Helvetica" w:cs="Helvetica"/>
          <w:color w:val="000000"/>
          <w:sz w:val="21"/>
          <w:szCs w:val="21"/>
          <w:shd w:val="clear" w:color="auto" w:fill="FFFFFF"/>
        </w:rPr>
      </w:pPr>
    </w:p>
    <w:p w14:paraId="1F9B73ED" w14:textId="77777777" w:rsidR="002C1063" w:rsidRPr="00096046" w:rsidRDefault="002C1063" w:rsidP="002C1063">
      <w:pPr>
        <w:jc w:val="both"/>
        <w:rPr>
          <w:rFonts w:asciiTheme="minorBidi" w:hAnsiTheme="minorBidi"/>
          <w:b/>
          <w:bCs/>
          <w:sz w:val="36"/>
          <w:szCs w:val="36"/>
        </w:rPr>
      </w:pPr>
      <w:bookmarkStart w:id="0" w:name="_GoBack"/>
      <w:bookmarkEnd w:id="0"/>
    </w:p>
    <w:sectPr w:rsidR="002C1063" w:rsidRPr="000960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8F4B02" w14:textId="77777777" w:rsidR="00DA031E" w:rsidRDefault="00DA031E" w:rsidP="008F0006">
      <w:pPr>
        <w:spacing w:after="0" w:line="240" w:lineRule="auto"/>
      </w:pPr>
      <w:r>
        <w:separator/>
      </w:r>
    </w:p>
  </w:endnote>
  <w:endnote w:type="continuationSeparator" w:id="0">
    <w:p w14:paraId="0C1066AE" w14:textId="77777777" w:rsidR="00DA031E" w:rsidRDefault="00DA031E" w:rsidP="008F0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FEE1F5" w14:textId="77777777" w:rsidR="00DA031E" w:rsidRDefault="00DA031E" w:rsidP="008F0006">
      <w:pPr>
        <w:spacing w:after="0" w:line="240" w:lineRule="auto"/>
      </w:pPr>
      <w:r>
        <w:separator/>
      </w:r>
    </w:p>
  </w:footnote>
  <w:footnote w:type="continuationSeparator" w:id="0">
    <w:p w14:paraId="56C78BC8" w14:textId="77777777" w:rsidR="00DA031E" w:rsidRDefault="00DA031E" w:rsidP="008F00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EyNTMxtzQ0MrU0sbBU0lEKTi0uzszPAykwrAUAB3x7iSwAAAA="/>
  </w:docVars>
  <w:rsids>
    <w:rsidRoot w:val="00096046"/>
    <w:rsid w:val="00096046"/>
    <w:rsid w:val="00170D9A"/>
    <w:rsid w:val="00190387"/>
    <w:rsid w:val="002C1063"/>
    <w:rsid w:val="00386E2C"/>
    <w:rsid w:val="00440709"/>
    <w:rsid w:val="00716403"/>
    <w:rsid w:val="007E4FEB"/>
    <w:rsid w:val="008F0006"/>
    <w:rsid w:val="009212A5"/>
    <w:rsid w:val="00B24429"/>
    <w:rsid w:val="00DA031E"/>
    <w:rsid w:val="00E773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063E7"/>
  <w15:chartTrackingRefBased/>
  <w15:docId w15:val="{8FEEF5A9-CEB3-423C-A12E-DFA9EA3C3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6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0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006"/>
  </w:style>
  <w:style w:type="paragraph" w:styleId="Footer">
    <w:name w:val="footer"/>
    <w:basedOn w:val="Normal"/>
    <w:link w:val="FooterChar"/>
    <w:uiPriority w:val="99"/>
    <w:unhideWhenUsed/>
    <w:rsid w:val="008F0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076293">
      <w:bodyDiv w:val="1"/>
      <w:marLeft w:val="0"/>
      <w:marRight w:val="0"/>
      <w:marTop w:val="0"/>
      <w:marBottom w:val="0"/>
      <w:divBdr>
        <w:top w:val="none" w:sz="0" w:space="0" w:color="auto"/>
        <w:left w:val="none" w:sz="0" w:space="0" w:color="auto"/>
        <w:bottom w:val="none" w:sz="0" w:space="0" w:color="auto"/>
        <w:right w:val="none" w:sz="0" w:space="0" w:color="auto"/>
      </w:divBdr>
      <w:divsChild>
        <w:div w:id="26026127">
          <w:marLeft w:val="0"/>
          <w:marRight w:val="0"/>
          <w:marTop w:val="0"/>
          <w:marBottom w:val="0"/>
          <w:divBdr>
            <w:top w:val="single" w:sz="6" w:space="4" w:color="ABABAB"/>
            <w:left w:val="single" w:sz="6" w:space="4" w:color="ABABAB"/>
            <w:bottom w:val="single" w:sz="6" w:space="4" w:color="ABABAB"/>
            <w:right w:val="single" w:sz="6" w:space="4" w:color="ABABAB"/>
          </w:divBdr>
          <w:divsChild>
            <w:div w:id="1212037871">
              <w:marLeft w:val="0"/>
              <w:marRight w:val="0"/>
              <w:marTop w:val="0"/>
              <w:marBottom w:val="0"/>
              <w:divBdr>
                <w:top w:val="none" w:sz="0" w:space="0" w:color="auto"/>
                <w:left w:val="none" w:sz="0" w:space="0" w:color="auto"/>
                <w:bottom w:val="none" w:sz="0" w:space="0" w:color="auto"/>
                <w:right w:val="none" w:sz="0" w:space="0" w:color="auto"/>
              </w:divBdr>
              <w:divsChild>
                <w:div w:id="4113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1196">
          <w:marLeft w:val="0"/>
          <w:marRight w:val="0"/>
          <w:marTop w:val="0"/>
          <w:marBottom w:val="0"/>
          <w:divBdr>
            <w:top w:val="single" w:sz="6" w:space="4" w:color="auto"/>
            <w:left w:val="single" w:sz="6" w:space="4" w:color="auto"/>
            <w:bottom w:val="single" w:sz="6" w:space="4" w:color="auto"/>
            <w:right w:val="single" w:sz="6" w:space="4" w:color="auto"/>
          </w:divBdr>
          <w:divsChild>
            <w:div w:id="1072587182">
              <w:marLeft w:val="0"/>
              <w:marRight w:val="0"/>
              <w:marTop w:val="0"/>
              <w:marBottom w:val="0"/>
              <w:divBdr>
                <w:top w:val="none" w:sz="0" w:space="0" w:color="auto"/>
                <w:left w:val="none" w:sz="0" w:space="0" w:color="auto"/>
                <w:bottom w:val="none" w:sz="0" w:space="0" w:color="auto"/>
                <w:right w:val="none" w:sz="0" w:space="0" w:color="auto"/>
              </w:divBdr>
              <w:divsChild>
                <w:div w:id="5260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02032">
      <w:bodyDiv w:val="1"/>
      <w:marLeft w:val="0"/>
      <w:marRight w:val="0"/>
      <w:marTop w:val="0"/>
      <w:marBottom w:val="0"/>
      <w:divBdr>
        <w:top w:val="none" w:sz="0" w:space="0" w:color="auto"/>
        <w:left w:val="none" w:sz="0" w:space="0" w:color="auto"/>
        <w:bottom w:val="none" w:sz="0" w:space="0" w:color="auto"/>
        <w:right w:val="none" w:sz="0" w:space="0" w:color="auto"/>
      </w:divBdr>
      <w:divsChild>
        <w:div w:id="415056540">
          <w:marLeft w:val="0"/>
          <w:marRight w:val="0"/>
          <w:marTop w:val="0"/>
          <w:marBottom w:val="0"/>
          <w:divBdr>
            <w:top w:val="single" w:sz="6" w:space="4" w:color="auto"/>
            <w:left w:val="single" w:sz="6" w:space="4" w:color="auto"/>
            <w:bottom w:val="single" w:sz="6" w:space="4" w:color="auto"/>
            <w:right w:val="single" w:sz="6" w:space="4" w:color="auto"/>
          </w:divBdr>
          <w:divsChild>
            <w:div w:id="1947039119">
              <w:marLeft w:val="0"/>
              <w:marRight w:val="0"/>
              <w:marTop w:val="0"/>
              <w:marBottom w:val="0"/>
              <w:divBdr>
                <w:top w:val="none" w:sz="0" w:space="0" w:color="auto"/>
                <w:left w:val="none" w:sz="0" w:space="0" w:color="auto"/>
                <w:bottom w:val="none" w:sz="0" w:space="0" w:color="auto"/>
                <w:right w:val="none" w:sz="0" w:space="0" w:color="auto"/>
              </w:divBdr>
              <w:divsChild>
                <w:div w:id="55169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60216">
          <w:marLeft w:val="0"/>
          <w:marRight w:val="0"/>
          <w:marTop w:val="0"/>
          <w:marBottom w:val="0"/>
          <w:divBdr>
            <w:top w:val="single" w:sz="6" w:space="4" w:color="auto"/>
            <w:left w:val="single" w:sz="6" w:space="4" w:color="auto"/>
            <w:bottom w:val="single" w:sz="6" w:space="4" w:color="auto"/>
            <w:right w:val="single" w:sz="6" w:space="4" w:color="auto"/>
          </w:divBdr>
          <w:divsChild>
            <w:div w:id="48891945">
              <w:marLeft w:val="0"/>
              <w:marRight w:val="0"/>
              <w:marTop w:val="0"/>
              <w:marBottom w:val="0"/>
              <w:divBdr>
                <w:top w:val="none" w:sz="0" w:space="0" w:color="auto"/>
                <w:left w:val="none" w:sz="0" w:space="0" w:color="auto"/>
                <w:bottom w:val="none" w:sz="0" w:space="0" w:color="auto"/>
                <w:right w:val="none" w:sz="0" w:space="0" w:color="auto"/>
              </w:divBdr>
              <w:divsChild>
                <w:div w:id="17386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2989">
          <w:marLeft w:val="0"/>
          <w:marRight w:val="0"/>
          <w:marTop w:val="0"/>
          <w:marBottom w:val="0"/>
          <w:divBdr>
            <w:top w:val="single" w:sz="6" w:space="4" w:color="auto"/>
            <w:left w:val="single" w:sz="6" w:space="4" w:color="auto"/>
            <w:bottom w:val="single" w:sz="6" w:space="4" w:color="auto"/>
            <w:right w:val="single" w:sz="6" w:space="4" w:color="auto"/>
          </w:divBdr>
          <w:divsChild>
            <w:div w:id="572937668">
              <w:marLeft w:val="0"/>
              <w:marRight w:val="0"/>
              <w:marTop w:val="0"/>
              <w:marBottom w:val="0"/>
              <w:divBdr>
                <w:top w:val="none" w:sz="0" w:space="0" w:color="auto"/>
                <w:left w:val="none" w:sz="0" w:space="0" w:color="auto"/>
                <w:bottom w:val="none" w:sz="0" w:space="0" w:color="auto"/>
                <w:right w:val="none" w:sz="0" w:space="0" w:color="auto"/>
              </w:divBdr>
              <w:divsChild>
                <w:div w:id="210989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Khorasani, Mohammad Hassan</dc:creator>
  <cp:keywords/>
  <dc:description/>
  <cp:lastModifiedBy>Elisee</cp:lastModifiedBy>
  <cp:revision>9</cp:revision>
  <dcterms:created xsi:type="dcterms:W3CDTF">2021-03-28T19:51:00Z</dcterms:created>
  <dcterms:modified xsi:type="dcterms:W3CDTF">2021-04-30T11:50:00Z</dcterms:modified>
</cp:coreProperties>
</file>