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98E" w:rsidRPr="009733B3" w:rsidRDefault="003B1FE6" w:rsidP="009733B3">
      <w:pPr>
        <w:pStyle w:val="Titel"/>
        <w:rPr>
          <w:lang w:val="en-US"/>
        </w:rPr>
      </w:pPr>
      <w:r w:rsidRPr="009733B3">
        <w:rPr>
          <w:lang w:val="en-US"/>
        </w:rPr>
        <w:t>Contact sensitization in patients with allergic hand eczema: Patterns of sensitization and suspected allergen sources by eczema location: an analysis of patch test data of the Information Network of Departments of Dermatology (IVDK), 2005-2024</w:t>
      </w:r>
    </w:p>
    <w:p w:rsidR="00FB498E" w:rsidRDefault="003B1FE6" w:rsidP="009733B3">
      <w:pPr>
        <w:pStyle w:val="Untertitel"/>
      </w:pPr>
      <w:bookmarkStart w:id="0" w:name="_GoBack"/>
      <w:r>
        <w:t>Lokalisation</w:t>
      </w:r>
      <w:r>
        <w:t>: Handinnenfläche(n) (BD)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32244400"/>
        <w:docPartObj>
          <w:docPartGallery w:val="Table of Contents"/>
          <w:docPartUnique/>
        </w:docPartObj>
      </w:sdtPr>
      <w:sdtEndPr/>
      <w:sdtContent>
        <w:p w:rsidR="00FB498E" w:rsidRDefault="003B1FE6">
          <w:pPr>
            <w:pStyle w:val="Inhaltsverzeichnisberschrift"/>
          </w:pPr>
          <w:r>
            <w:t>Inhaltsverzeichnis</w:t>
          </w:r>
        </w:p>
        <w:p w:rsidR="009733B3" w:rsidRDefault="003B1FE6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>TOC \o "1-3" \h \z \u</w:instrText>
          </w:r>
          <w:r w:rsidR="009733B3">
            <w:fldChar w:fldCharType="separate"/>
          </w:r>
          <w:hyperlink w:anchor="_Toc211860450" w:history="1">
            <w:r w:rsidR="009733B3" w:rsidRPr="00E7613A">
              <w:rPr>
                <w:rStyle w:val="Hyperlink"/>
                <w:noProof/>
              </w:rPr>
              <w:t>MOAHLFA-Index</w:t>
            </w:r>
            <w:r w:rsidR="009733B3">
              <w:rPr>
                <w:noProof/>
                <w:webHidden/>
              </w:rPr>
              <w:tab/>
            </w:r>
            <w:r w:rsidR="009733B3">
              <w:rPr>
                <w:noProof/>
                <w:webHidden/>
              </w:rPr>
              <w:fldChar w:fldCharType="begin"/>
            </w:r>
            <w:r w:rsidR="009733B3">
              <w:rPr>
                <w:noProof/>
                <w:webHidden/>
              </w:rPr>
              <w:instrText xml:space="preserve"> PAGEREF _Toc211860450 \h </w:instrText>
            </w:r>
            <w:r w:rsidR="009733B3">
              <w:rPr>
                <w:noProof/>
                <w:webHidden/>
              </w:rPr>
            </w:r>
            <w:r w:rsidR="009733B3">
              <w:rPr>
                <w:noProof/>
                <w:webHidden/>
              </w:rPr>
              <w:fldChar w:fldCharType="separate"/>
            </w:r>
            <w:r w:rsidR="009733B3">
              <w:rPr>
                <w:noProof/>
                <w:webHidden/>
              </w:rPr>
              <w:t>1</w:t>
            </w:r>
            <w:r w:rsidR="009733B3">
              <w:rPr>
                <w:noProof/>
                <w:webHidden/>
              </w:rPr>
              <w:fldChar w:fldCharType="end"/>
            </w:r>
          </w:hyperlink>
        </w:p>
        <w:p w:rsidR="009733B3" w:rsidRDefault="009733B3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51" w:history="1">
            <w:r w:rsidRPr="00E7613A">
              <w:rPr>
                <w:rStyle w:val="Hyperlink"/>
                <w:noProof/>
              </w:rPr>
              <w:t>Kontaktstoffe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3B3" w:rsidRDefault="009733B3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52" w:history="1">
            <w:r w:rsidRPr="00E7613A">
              <w:rPr>
                <w:rStyle w:val="Hyperlink"/>
                <w:noProof/>
              </w:rPr>
              <w:t>Bestehen zusätzliche Kofaktoren?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3B3" w:rsidRDefault="009733B3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53" w:history="1">
            <w:r w:rsidRPr="00E7613A">
              <w:rPr>
                <w:rStyle w:val="Hyperlink"/>
                <w:noProof/>
              </w:rPr>
              <w:t>Zusätzlich bestehende Kofaktoren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3B3" w:rsidRDefault="009733B3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54" w:history="1">
            <w:r w:rsidRPr="00E7613A">
              <w:rPr>
                <w:rStyle w:val="Hyperlink"/>
                <w:noProof/>
              </w:rPr>
              <w:t>Epikutantestung Standardreihe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98E" w:rsidRDefault="003B1FE6">
          <w:r>
            <w:fldChar w:fldCharType="end"/>
          </w:r>
        </w:p>
      </w:sdtContent>
    </w:sdt>
    <w:p w:rsidR="00FB498E" w:rsidRDefault="003B1FE6">
      <w:pPr>
        <w:pStyle w:val="berschrift1"/>
      </w:pPr>
      <w:bookmarkStart w:id="1" w:name="moahlfa-index"/>
      <w:bookmarkStart w:id="2" w:name="_Toc211860450"/>
      <w:r>
        <w:t>MOAHLFA-Index</w:t>
      </w:r>
      <w:bookmarkEnd w:id="2"/>
    </w:p>
    <w:p w:rsidR="00FB498E" w:rsidRDefault="003B1FE6">
      <w:pPr>
        <w:pStyle w:val="TableCaption"/>
      </w:pPr>
      <w:r>
        <w:t>MOAHLFA-Index, Lokalisation: Handinnenfläche(n) (BD), N=913. Table: MOAHLFA-Index, Lokalisation: Handinnenfläche(n) (BD), N=913.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56"/>
        <w:gridCol w:w="709"/>
        <w:gridCol w:w="817"/>
        <w:gridCol w:w="918"/>
      </w:tblGrid>
      <w:tr w:rsidR="00FB498E" w:rsidTr="00FB4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Merkmal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Prozent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454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49,7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Occupational dermatitis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913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100,0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Atop. Dermatitis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195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21,4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Hand Dermatitis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913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100,0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Leg dermatitis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0,0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Face dermatitis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0,0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Age &gt;= 40 years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63,3</w:t>
            </w:r>
          </w:p>
        </w:tc>
      </w:tr>
    </w:tbl>
    <w:p w:rsidR="00FB498E" w:rsidRDefault="003B1FE6">
      <w:r>
        <w:br w:type="page"/>
      </w:r>
    </w:p>
    <w:p w:rsidR="00FB498E" w:rsidRDefault="003B1FE6">
      <w:pPr>
        <w:pStyle w:val="berschrift1"/>
      </w:pPr>
      <w:bookmarkStart w:id="3" w:name="kontaktstoffe"/>
      <w:bookmarkStart w:id="4" w:name="_Toc211860451"/>
      <w:bookmarkEnd w:id="1"/>
      <w:r>
        <w:lastRenderedPageBreak/>
        <w:t>Kontaktstoffe</w:t>
      </w:r>
      <w:bookmarkEnd w:id="4"/>
    </w:p>
    <w:p w:rsidR="00FB498E" w:rsidRDefault="003B1FE6">
      <w:pPr>
        <w:pStyle w:val="TableCaption"/>
      </w:pPr>
      <w:r>
        <w:t>Kontaktstoffe, Lokalisation: Handinnenfläche(n) (BD), N=913.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44"/>
        <w:gridCol w:w="817"/>
        <w:gridCol w:w="918"/>
      </w:tblGrid>
      <w:tr w:rsidR="00FB498E" w:rsidTr="00FB4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Prozent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gloves (various materials)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257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28,1</w:t>
            </w:r>
          </w:p>
        </w:tc>
      </w:tr>
      <w:tr w:rsidR="00FB498E">
        <w:tc>
          <w:tcPr>
            <w:tcW w:w="0" w:type="auto"/>
          </w:tcPr>
          <w:p w:rsidR="00FB498E" w:rsidRPr="009733B3" w:rsidRDefault="003B1FE6">
            <w:pPr>
              <w:pStyle w:val="Compact"/>
              <w:rPr>
                <w:lang w:val="en-US"/>
              </w:rPr>
            </w:pPr>
            <w:r w:rsidRPr="009733B3">
              <w:rPr>
                <w:lang w:val="en-US"/>
              </w:rPr>
              <w:t>cosmetics, creams (leave on products)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222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24,3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disinfectants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188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20,6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rubber (other)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168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18,4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cutting fluids (water based)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113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12,4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metal (worked with)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69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7,6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building material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6,9</w:t>
            </w:r>
          </w:p>
        </w:tc>
      </w:tr>
      <w:tr w:rsidR="00FB498E">
        <w:tc>
          <w:tcPr>
            <w:tcW w:w="0" w:type="auto"/>
          </w:tcPr>
          <w:p w:rsidR="00FB498E" w:rsidRPr="009733B3" w:rsidRDefault="003B1FE6">
            <w:pPr>
              <w:pStyle w:val="Compact"/>
              <w:rPr>
                <w:lang w:val="en-US"/>
              </w:rPr>
            </w:pPr>
            <w:r w:rsidRPr="009733B3">
              <w:rPr>
                <w:lang w:val="en-US"/>
              </w:rPr>
              <w:t>cleaning agents (e.g., detergents)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6,7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hair cosmetics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6,7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glues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55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6,0</w:t>
            </w:r>
          </w:p>
        </w:tc>
      </w:tr>
      <w:tr w:rsidR="00FB498E">
        <w:tc>
          <w:tcPr>
            <w:tcW w:w="0" w:type="auto"/>
          </w:tcPr>
          <w:p w:rsidR="00FB498E" w:rsidRPr="009733B3" w:rsidRDefault="003B1FE6">
            <w:pPr>
              <w:pStyle w:val="Compact"/>
              <w:rPr>
                <w:lang w:val="en-US"/>
              </w:rPr>
            </w:pPr>
            <w:r w:rsidRPr="009733B3">
              <w:rPr>
                <w:lang w:val="en-US"/>
              </w:rPr>
              <w:t>metal other (e.g., coins)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5,1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plastics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4,7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neat oils, greases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4,1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drugs, external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3,9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other chemicals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3,9</w:t>
            </w:r>
          </w:p>
        </w:tc>
      </w:tr>
      <w:tr w:rsidR="00FB498E">
        <w:tc>
          <w:tcPr>
            <w:tcW w:w="0" w:type="auto"/>
          </w:tcPr>
          <w:p w:rsidR="00FB498E" w:rsidRPr="009733B3" w:rsidRDefault="003B1FE6">
            <w:pPr>
              <w:pStyle w:val="Compact"/>
              <w:rPr>
                <w:lang w:val="en-US"/>
              </w:rPr>
            </w:pPr>
            <w:r w:rsidRPr="009733B3">
              <w:rPr>
                <w:lang w:val="en-US"/>
              </w:rPr>
              <w:t>soap, shampoo (rinse off products)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3,9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leather (other)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3,9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food (additives)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3,6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paints, laquers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3,4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plants (not food)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2,7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office material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2,3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dental protheses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2,0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perfume, deodorant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1,9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shoes, boots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1,9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clothing, textiles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1,6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solvents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1,6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nail cosmetics, artificial nails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1,4</w:t>
            </w:r>
          </w:p>
        </w:tc>
      </w:tr>
      <w:tr w:rsidR="00FB498E">
        <w:tc>
          <w:tcPr>
            <w:tcW w:w="0" w:type="auto"/>
          </w:tcPr>
          <w:p w:rsidR="00FB498E" w:rsidRPr="009733B3" w:rsidRDefault="003B1FE6">
            <w:pPr>
              <w:pStyle w:val="Compact"/>
              <w:rPr>
                <w:lang w:val="en-US"/>
              </w:rPr>
            </w:pPr>
            <w:r w:rsidRPr="009733B3">
              <w:rPr>
                <w:lang w:val="en-US"/>
              </w:rPr>
              <w:t>dental filling (e.g. amalgam)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1,4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not classified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1,4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tools (metal, wood, plastic)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1,3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woods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1,0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not reported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0,8</w:t>
            </w:r>
          </w:p>
        </w:tc>
      </w:tr>
      <w:tr w:rsidR="00FB498E">
        <w:tc>
          <w:tcPr>
            <w:tcW w:w="0" w:type="auto"/>
          </w:tcPr>
          <w:p w:rsidR="00FB498E" w:rsidRPr="009733B3" w:rsidRDefault="003B1FE6">
            <w:pPr>
              <w:pStyle w:val="Compact"/>
              <w:rPr>
                <w:lang w:val="en-US"/>
              </w:rPr>
            </w:pPr>
            <w:r w:rsidRPr="009733B3">
              <w:rPr>
                <w:lang w:val="en-US"/>
              </w:rPr>
              <w:t>wall paint, freshly painted rooms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0,8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metal jewellery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0,5</w:t>
            </w:r>
          </w:p>
        </w:tc>
      </w:tr>
      <w:tr w:rsidR="00FB498E">
        <w:tc>
          <w:tcPr>
            <w:tcW w:w="0" w:type="auto"/>
          </w:tcPr>
          <w:p w:rsidR="00FB498E" w:rsidRPr="009733B3" w:rsidRDefault="003B1FE6">
            <w:pPr>
              <w:pStyle w:val="Compact"/>
              <w:rPr>
                <w:lang w:val="en-US"/>
              </w:rPr>
            </w:pPr>
            <w:r w:rsidRPr="009733B3">
              <w:rPr>
                <w:lang w:val="en-US"/>
              </w:rPr>
              <w:t>polishes (shoe, furniture, car, etc)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0,5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lastRenderedPageBreak/>
              <w:t>pesticides, herbicides, etc.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0,4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house dusts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0,4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drugs, internal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0,4</w:t>
            </w:r>
          </w:p>
        </w:tc>
      </w:tr>
      <w:tr w:rsidR="00FB498E">
        <w:tc>
          <w:tcPr>
            <w:tcW w:w="0" w:type="auto"/>
          </w:tcPr>
          <w:p w:rsidR="00FB498E" w:rsidRPr="009733B3" w:rsidRDefault="003B1FE6">
            <w:pPr>
              <w:pStyle w:val="Compact"/>
              <w:rPr>
                <w:lang w:val="en-US"/>
              </w:rPr>
            </w:pPr>
            <w:r w:rsidRPr="009733B3">
              <w:rPr>
                <w:lang w:val="en-US"/>
              </w:rPr>
              <w:t>medical material (e.g., sutures, gel)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0,4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fabric softener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0,3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fur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0,2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biocides, preservatives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0,2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metal implants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0,2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laboratory chemicals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0,2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musical instruments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0,2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fehlende oder fehlerhafte Angabe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0,1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indoor scents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0,1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newly build housing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0,1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textile furniture, carpets (new)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0,1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jewellery, non-metal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0,1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weapons, pyrotechnic article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0,1</w:t>
            </w:r>
          </w:p>
        </w:tc>
      </w:tr>
      <w:tr w:rsidR="00FB498E">
        <w:tc>
          <w:tcPr>
            <w:tcW w:w="0" w:type="auto"/>
          </w:tcPr>
          <w:p w:rsidR="00FB498E" w:rsidRPr="009733B3" w:rsidRDefault="003B1FE6">
            <w:pPr>
              <w:pStyle w:val="Compact"/>
              <w:rPr>
                <w:lang w:val="en-US"/>
              </w:rPr>
            </w:pPr>
            <w:r w:rsidRPr="009733B3">
              <w:rPr>
                <w:lang w:val="en-US"/>
              </w:rPr>
              <w:t>glasses, contact lens, hearing aid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0,1</w:t>
            </w:r>
          </w:p>
        </w:tc>
      </w:tr>
    </w:tbl>
    <w:p w:rsidR="00FB498E" w:rsidRDefault="003B1FE6">
      <w:r>
        <w:br w:type="page"/>
      </w:r>
    </w:p>
    <w:p w:rsidR="00FB498E" w:rsidRDefault="003B1FE6">
      <w:pPr>
        <w:pStyle w:val="berschrift1"/>
      </w:pPr>
      <w:bookmarkStart w:id="5" w:name="bestehen-zusätzliche-kofaktoren"/>
      <w:bookmarkStart w:id="6" w:name="_Toc211860452"/>
      <w:bookmarkEnd w:id="3"/>
      <w:r>
        <w:lastRenderedPageBreak/>
        <w:t>Bestehen zusätzliche Kofaktoren?</w:t>
      </w:r>
      <w:bookmarkEnd w:id="6"/>
    </w:p>
    <w:p w:rsidR="00FB498E" w:rsidRDefault="003B1FE6">
      <w:pPr>
        <w:pStyle w:val="TableCaption"/>
      </w:pPr>
      <w:r>
        <w:t>Bestehen zusätzliche Kofaktoren? Lokalisation: Handinnenfläche(n) (BD), N=913.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29"/>
        <w:gridCol w:w="817"/>
        <w:gridCol w:w="918"/>
      </w:tblGrid>
      <w:tr w:rsidR="00FB498E" w:rsidTr="00FB4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Angabe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Prozent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Ja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626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68,6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Nein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173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18,9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Unbekannt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99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10,8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Angabe fehlt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1,6</w:t>
            </w:r>
          </w:p>
        </w:tc>
      </w:tr>
    </w:tbl>
    <w:p w:rsidR="00FB498E" w:rsidRDefault="003B1FE6">
      <w:r>
        <w:br w:type="page"/>
      </w:r>
    </w:p>
    <w:p w:rsidR="00FB498E" w:rsidRDefault="003B1FE6">
      <w:pPr>
        <w:pStyle w:val="berschrift1"/>
      </w:pPr>
      <w:bookmarkStart w:id="7" w:name="zusätzlich-bestehende-kofaktoren"/>
      <w:bookmarkStart w:id="8" w:name="_Toc211860453"/>
      <w:bookmarkEnd w:id="5"/>
      <w:r>
        <w:lastRenderedPageBreak/>
        <w:t>Zusätzlich bestehende Kofaktoren</w:t>
      </w:r>
      <w:bookmarkEnd w:id="8"/>
    </w:p>
    <w:p w:rsidR="00FB498E" w:rsidRDefault="003B1FE6">
      <w:pPr>
        <w:pStyle w:val="TableCaption"/>
      </w:pPr>
      <w:r>
        <w:t>Zusätzlich bestehende Kofaktoren, Lokalisation: Handinnenfläche(n) (BD), N=626.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54"/>
        <w:gridCol w:w="817"/>
        <w:gridCol w:w="918"/>
      </w:tblGrid>
      <w:tr w:rsidR="00FB498E" w:rsidTr="00FB4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Prozent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Occlusive environment (gloves, boots)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277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44,2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Wetness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177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28,3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Mechanical stress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7,0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Dusts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5,0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Other, not classified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3,7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fehlende oder fehlerhafte Angabe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2,9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Heat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2,6</w:t>
            </w:r>
          </w:p>
        </w:tc>
      </w:tr>
      <w:tr w:rsidR="00FB498E">
        <w:tc>
          <w:tcPr>
            <w:tcW w:w="0" w:type="auto"/>
          </w:tcPr>
          <w:p w:rsidR="00FB498E" w:rsidRPr="009733B3" w:rsidRDefault="003B1FE6">
            <w:pPr>
              <w:pStyle w:val="Compact"/>
              <w:rPr>
                <w:lang w:val="en-US"/>
              </w:rPr>
            </w:pPr>
            <w:r w:rsidRPr="009733B3">
              <w:rPr>
                <w:lang w:val="en-US"/>
              </w:rPr>
              <w:t>Chem. Irritation (e.g. solvents)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2,4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Cold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2,1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Dryness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1,8</w:t>
            </w:r>
          </w:p>
        </w:tc>
      </w:tr>
      <w:tr w:rsidR="00FB498E">
        <w:tc>
          <w:tcPr>
            <w:tcW w:w="0" w:type="auto"/>
          </w:tcPr>
          <w:p w:rsidR="00FB498E" w:rsidRDefault="003B1FE6">
            <w:pPr>
              <w:pStyle w:val="Compact"/>
            </w:pPr>
            <w:r>
              <w:t>Screen work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B498E" w:rsidRDefault="003B1FE6">
            <w:pPr>
              <w:pStyle w:val="Compact"/>
              <w:jc w:val="right"/>
            </w:pPr>
            <w:r>
              <w:t>0,2</w:t>
            </w:r>
          </w:p>
        </w:tc>
      </w:tr>
    </w:tbl>
    <w:p w:rsidR="00FB498E" w:rsidRDefault="003B1FE6">
      <w:r>
        <w:br w:type="page"/>
      </w:r>
    </w:p>
    <w:p w:rsidR="00FB498E" w:rsidRDefault="003B1FE6">
      <w:pPr>
        <w:pStyle w:val="berschrift1"/>
      </w:pPr>
      <w:bookmarkStart w:id="9" w:name="epikutantestung-standardreihe"/>
      <w:bookmarkStart w:id="10" w:name="_Toc211860454"/>
      <w:bookmarkEnd w:id="7"/>
      <w:r>
        <w:lastRenderedPageBreak/>
        <w:t>Epikutantestung Standardreihe</w:t>
      </w:r>
      <w:bookmarkEnd w:id="10"/>
    </w:p>
    <w:p w:rsidR="00FB498E" w:rsidRDefault="003B1FE6">
      <w:pPr>
        <w:pStyle w:val="TableCaption"/>
      </w:pPr>
      <w:r>
        <w:t>Epikutantestung Standardreihe, Lokalisation: Handinnenfläche(n) (BD).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28"/>
        <w:gridCol w:w="6133"/>
        <w:gridCol w:w="1269"/>
        <w:gridCol w:w="529"/>
        <w:gridCol w:w="529"/>
        <w:gridCol w:w="634"/>
      </w:tblGrid>
      <w:tr w:rsidR="00FB498E" w:rsidTr="00FB4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Sub.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Bezeichnung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Testzub.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Pat.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Pos.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Proz.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5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Methylchloroisothiazolinone (MCI/MI)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100 ppm aq.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802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73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9,1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604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Bufexamac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377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0,5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732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Cetostearyl alcohol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759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0,8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443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22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5,0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334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32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9,6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1177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Fragrance mix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8 %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801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71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8,9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1200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Epoxy resin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796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26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3,3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1335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Formaldehyde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1 % aq.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805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20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2,5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1605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Potassium dichromate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806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87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10,8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1622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Cobalt (II)-chloride, 6*H2O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803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93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11,6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1630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Colophony (Rosin)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801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65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8,1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1731</w:t>
            </w:r>
          </w:p>
        </w:tc>
        <w:tc>
          <w:tcPr>
            <w:tcW w:w="5047" w:type="dxa"/>
          </w:tcPr>
          <w:p w:rsidR="00FB498E" w:rsidRPr="009733B3" w:rsidRDefault="003B1FE6">
            <w:pPr>
              <w:pStyle w:val="Compact"/>
              <w:rPr>
                <w:lang w:val="en-US"/>
              </w:rPr>
            </w:pPr>
            <w:r w:rsidRPr="009733B3">
              <w:rPr>
                <w:lang w:val="en-US"/>
              </w:rPr>
              <w:t>Mercapto mix (</w:t>
            </w:r>
            <w:proofErr w:type="gramStart"/>
            <w:r w:rsidRPr="009733B3">
              <w:rPr>
                <w:lang w:val="en-US"/>
              </w:rPr>
              <w:t>MBT,CBS</w:t>
            </w:r>
            <w:proofErr w:type="gramEnd"/>
            <w:r w:rsidRPr="009733B3">
              <w:rPr>
                <w:lang w:val="en-US"/>
              </w:rPr>
              <w:t>,MBTS,MOR)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27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3,7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1732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Mercaptobenzothiazole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84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6,0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1732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Mercaptobenzothiazole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723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21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2,9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1884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N-Isopropyl-N’-phenyl-p-phenylene diamine (IPPD)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803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19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2,4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1946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Nickel (II)-sulfate hexahydrate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792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158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19,9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2085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p-Phenylene diamine (PPD) (CI 76060)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89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6,7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2091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p-tert.-Butylphenol formaldehyde resin (PTBFR)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423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1,4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2107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Paraben mix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16 %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737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11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1,5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lastRenderedPageBreak/>
              <w:t>2131</w:t>
            </w:r>
          </w:p>
        </w:tc>
        <w:tc>
          <w:tcPr>
            <w:tcW w:w="5047" w:type="dxa"/>
          </w:tcPr>
          <w:p w:rsidR="00FB498E" w:rsidRPr="009733B3" w:rsidRDefault="003B1FE6">
            <w:pPr>
              <w:pStyle w:val="Compact"/>
              <w:rPr>
                <w:lang w:val="en-US"/>
              </w:rPr>
            </w:pPr>
            <w:r w:rsidRPr="009733B3">
              <w:rPr>
                <w:lang w:val="en-US"/>
              </w:rPr>
              <w:t>Balsam of Peru (Myroxylon pereirae)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25 %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806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73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9,1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2337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Propolis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802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29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3,6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2474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Sorbitan sesquioleate (SSQ)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487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0,8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2551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Oil of turpentine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793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21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2,6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2601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Thiuram mix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803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64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8,0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2732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Lanolin (wool fat) alcohols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30 %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808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24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3,0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2753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Zinc diethyldithiocarbamate (ZDEC)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753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18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2,4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2949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2-Hydroxyethyl methacrylae (HEMA)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326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18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5,5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2976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1,2-Benzisothiazolin-3-one, sodium salt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345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17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4,9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3002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Compositae mix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6 %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80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8,8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3045</w:t>
            </w:r>
          </w:p>
        </w:tc>
        <w:tc>
          <w:tcPr>
            <w:tcW w:w="5047" w:type="dxa"/>
          </w:tcPr>
          <w:p w:rsidR="00FB498E" w:rsidRPr="009733B3" w:rsidRDefault="003B1FE6">
            <w:pPr>
              <w:pStyle w:val="Compact"/>
              <w:rPr>
                <w:lang w:val="en-US"/>
              </w:rPr>
            </w:pPr>
            <w:r w:rsidRPr="009733B3">
              <w:rPr>
                <w:lang w:val="en-US"/>
              </w:rPr>
              <w:t>Mercapto mix (CBS, MBTS, MOR)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754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25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3,3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3049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Methyl isothiazolinone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0,1 % aq.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626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61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9,7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3052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Disperse blue mix 124/106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73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0,0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3055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Iodopropynylbutyl carbamate (IPBC)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687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9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1,3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3079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4-(4-Hydroxy-4-methylpentyl)-3-cyclohexen-1-carboxaldehyd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802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25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3,1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3112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Bronopol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658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10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1,5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37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2,7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582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26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4,5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3146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Jasmine Absolute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38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0,0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3146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Jasmine Absolute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569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9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1,6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3147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Sandalwood Oil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606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12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2,0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lastRenderedPageBreak/>
              <w:t>3155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Fragrance Mix II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14 %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804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49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6,1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3156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Compositae Mix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222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2,7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3170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Compositae Mix II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497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11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2,2</w:t>
            </w:r>
          </w:p>
        </w:tc>
      </w:tr>
      <w:tr w:rsidR="00FB498E"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3268</w:t>
            </w:r>
          </w:p>
        </w:tc>
        <w:tc>
          <w:tcPr>
            <w:tcW w:w="5047" w:type="dxa"/>
          </w:tcPr>
          <w:p w:rsidR="00FB498E" w:rsidRDefault="003B1FE6">
            <w:pPr>
              <w:pStyle w:val="Compact"/>
            </w:pPr>
            <w:r>
              <w:t>Composite mix (NA251)</w:t>
            </w:r>
          </w:p>
        </w:tc>
        <w:tc>
          <w:tcPr>
            <w:tcW w:w="1044" w:type="dxa"/>
          </w:tcPr>
          <w:p w:rsidR="00FB498E" w:rsidRDefault="003B1FE6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7</w:t>
            </w:r>
          </w:p>
        </w:tc>
        <w:tc>
          <w:tcPr>
            <w:tcW w:w="435" w:type="dxa"/>
          </w:tcPr>
          <w:p w:rsidR="00FB498E" w:rsidRDefault="003B1FE6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FB498E" w:rsidRDefault="003B1FE6">
            <w:pPr>
              <w:pStyle w:val="Compact"/>
              <w:jc w:val="right"/>
            </w:pPr>
            <w:r>
              <w:t>0,0</w:t>
            </w:r>
          </w:p>
        </w:tc>
      </w:tr>
      <w:bookmarkEnd w:id="9"/>
    </w:tbl>
    <w:p w:rsidR="003B1FE6" w:rsidRDefault="003B1FE6"/>
    <w:sectPr w:rsidR="003B1FE6">
      <w:headerReference w:type="default" r:id="rId7"/>
      <w:footerReference w:type="default" r:id="rId8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FE6" w:rsidRDefault="003B1FE6">
      <w:pPr>
        <w:spacing w:after="0"/>
      </w:pPr>
      <w:r>
        <w:separator/>
      </w:r>
    </w:p>
  </w:endnote>
  <w:endnote w:type="continuationSeparator" w:id="0">
    <w:p w:rsidR="003B1FE6" w:rsidRDefault="003B1F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1205405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p w:rsidR="00F348A0" w:rsidRPr="00F348A0" w:rsidRDefault="00F348A0">
        <w:pPr>
          <w:pStyle w:val="Fuzeile"/>
          <w:jc w:val="center"/>
          <w:rPr>
            <w:rFonts w:ascii="Gill Sans MT" w:hAnsi="Gill Sans MT"/>
          </w:rPr>
        </w:pPr>
        <w:r w:rsidRPr="00F348A0">
          <w:rPr>
            <w:rFonts w:ascii="Gill Sans MT" w:hAnsi="Gill Sans MT"/>
          </w:rPr>
          <w:fldChar w:fldCharType="begin"/>
        </w:r>
        <w:r w:rsidRPr="00F348A0">
          <w:rPr>
            <w:rFonts w:ascii="Gill Sans MT" w:hAnsi="Gill Sans MT"/>
          </w:rPr>
          <w:instrText>PAGE   \* MERGEFORMAT</w:instrText>
        </w:r>
        <w:r w:rsidRPr="00F348A0">
          <w:rPr>
            <w:rFonts w:ascii="Gill Sans MT" w:hAnsi="Gill Sans MT"/>
          </w:rPr>
          <w:fldChar w:fldCharType="separate"/>
        </w:r>
        <w:r w:rsidRPr="00F348A0">
          <w:rPr>
            <w:rFonts w:ascii="Gill Sans MT" w:hAnsi="Gill Sans MT"/>
            <w:lang w:val="de-DE"/>
          </w:rPr>
          <w:t>2</w:t>
        </w:r>
        <w:r w:rsidRPr="00F348A0">
          <w:rPr>
            <w:rFonts w:ascii="Gill Sans MT" w:hAnsi="Gill Sans MT"/>
          </w:rPr>
          <w:fldChar w:fldCharType="end"/>
        </w:r>
      </w:p>
    </w:sdtContent>
  </w:sdt>
  <w:p w:rsidR="00F348A0" w:rsidRDefault="00F348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FE6" w:rsidRDefault="003B1FE6">
      <w:pPr>
        <w:spacing w:after="0"/>
      </w:pPr>
      <w:r>
        <w:separator/>
      </w:r>
    </w:p>
  </w:footnote>
  <w:footnote w:type="continuationSeparator" w:id="0">
    <w:p w:rsidR="003B1FE6" w:rsidRDefault="003B1F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B6" w:rsidRDefault="002A73B6" w:rsidP="002A73B6">
    <w:pPr>
      <w:pStyle w:val="Kopfzeile"/>
      <w:jc w:val="center"/>
    </w:pPr>
    <w:r>
      <w:rPr>
        <w:noProof/>
      </w:rPr>
      <w:drawing>
        <wp:inline distT="0" distB="0" distL="0" distR="0" wp14:anchorId="65BA3DE0" wp14:editId="4D2FC358">
          <wp:extent cx="1392939" cy="441961"/>
          <wp:effectExtent l="0" t="0" r="0" b="0"/>
          <wp:docPr id="1" name="Grafik 1" descr="Ein Bild, das Screenshot, Schrift, Grafiken, Electric Blue (Farbe)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creenshot, Schrift, Grafiken, Electric Blue (Farbe)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939" cy="441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A73B6" w:rsidRDefault="002A73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289C3E9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70CD2DE"/>
    <w:multiLevelType w:val="multilevel"/>
    <w:tmpl w:val="1B804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9D3"/>
    <w:rsid w:val="00083CFE"/>
    <w:rsid w:val="000A4A2E"/>
    <w:rsid w:val="0013070C"/>
    <w:rsid w:val="0015439A"/>
    <w:rsid w:val="0016287D"/>
    <w:rsid w:val="001C75B6"/>
    <w:rsid w:val="00201B3B"/>
    <w:rsid w:val="00213741"/>
    <w:rsid w:val="002A73B6"/>
    <w:rsid w:val="002F23E7"/>
    <w:rsid w:val="003B1FE6"/>
    <w:rsid w:val="004158FB"/>
    <w:rsid w:val="004A4970"/>
    <w:rsid w:val="005C1644"/>
    <w:rsid w:val="00690BEE"/>
    <w:rsid w:val="006D4E6B"/>
    <w:rsid w:val="007656DA"/>
    <w:rsid w:val="009733B3"/>
    <w:rsid w:val="00A11A54"/>
    <w:rsid w:val="00AC6898"/>
    <w:rsid w:val="00AE5D00"/>
    <w:rsid w:val="00B25977"/>
    <w:rsid w:val="00B849D3"/>
    <w:rsid w:val="00BC62BF"/>
    <w:rsid w:val="00C05E43"/>
    <w:rsid w:val="00CB690C"/>
    <w:rsid w:val="00DE54BB"/>
    <w:rsid w:val="00E8216C"/>
    <w:rsid w:val="00ED1CC3"/>
    <w:rsid w:val="00F15CCD"/>
    <w:rsid w:val="00F348A0"/>
    <w:rsid w:val="00FB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70B39B-8A2A-4776-96CE-ED52D488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CB690C"/>
    <w:pPr>
      <w:keepNext/>
      <w:keepLines/>
      <w:spacing w:before="360" w:after="80"/>
      <w:outlineLvl w:val="0"/>
    </w:pPr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1C75B6"/>
    <w:pPr>
      <w:spacing w:before="180" w:after="180"/>
    </w:pPr>
    <w:rPr>
      <w:rFonts w:ascii="Gill Sans MT" w:hAnsi="Gill Sans MT"/>
      <w:sz w:val="22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1C75B6"/>
    <w:pPr>
      <w:spacing w:after="80"/>
      <w:contextualSpacing/>
      <w:jc w:val="center"/>
    </w:pPr>
    <w:rPr>
      <w:rFonts w:ascii="Gill Sans MT" w:eastAsiaTheme="majorEastAsia" w:hAnsi="Gill Sans MT" w:cstheme="majorBidi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5B6"/>
    <w:rPr>
      <w:rFonts w:ascii="Gill Sans MT" w:eastAsiaTheme="majorEastAsia" w:hAnsi="Gill Sans MT" w:cstheme="majorBidi"/>
      <w:sz w:val="48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rsid w:val="00213741"/>
    <w:pPr>
      <w:keepNext/>
      <w:keepLines/>
      <w:spacing w:before="300" w:after="0"/>
      <w:jc w:val="center"/>
    </w:pPr>
    <w:rPr>
      <w:rFonts w:ascii="Gill Sans MT" w:hAnsi="Gill Sans MT"/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rsid w:val="00213741"/>
    <w:pPr>
      <w:keepNext/>
      <w:keepLines/>
      <w:spacing w:before="100" w:after="300"/>
    </w:pPr>
    <w:rPr>
      <w:rFonts w:ascii="Gill Sans MT" w:hAnsi="Gill Sans MT"/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CB690C"/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F15CCD"/>
    <w:pPr>
      <w:spacing w:before="240" w:line="259" w:lineRule="auto"/>
      <w:outlineLvl w:val="9"/>
    </w:pPr>
    <w:rPr>
      <w:color w:val="0F4761" w:themeColor="accent1" w:themeShade="BF"/>
    </w:rPr>
  </w:style>
  <w:style w:type="paragraph" w:styleId="Kopfzeile">
    <w:name w:val="header"/>
    <w:basedOn w:val="Standard"/>
    <w:link w:val="Kopf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3B6"/>
  </w:style>
  <w:style w:type="paragraph" w:styleId="Fuzeile">
    <w:name w:val="footer"/>
    <w:basedOn w:val="Standard"/>
    <w:link w:val="Fu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A73B6"/>
  </w:style>
  <w:style w:type="paragraph" w:styleId="Verzeichnis1">
    <w:name w:val="toc 1"/>
    <w:basedOn w:val="Standard"/>
    <w:next w:val="Standard"/>
    <w:autoRedefine/>
    <w:uiPriority w:val="39"/>
    <w:rsid w:val="00AC6898"/>
    <w:pPr>
      <w:spacing w:after="100"/>
    </w:pPr>
    <w:rPr>
      <w:rFonts w:ascii="Gill Sans MT" w:hAnsi="Gill Sans MT"/>
    </w:rPr>
  </w:style>
  <w:style w:type="paragraph" w:styleId="Verzeichnis2">
    <w:name w:val="toc 2"/>
    <w:basedOn w:val="Standard"/>
    <w:next w:val="Standard"/>
    <w:autoRedefine/>
    <w:uiPriority w:val="39"/>
    <w:rsid w:val="00AC6898"/>
    <w:pPr>
      <w:spacing w:after="100"/>
      <w:ind w:left="240"/>
    </w:pPr>
    <w:rPr>
      <w:rFonts w:ascii="Gill Sans MT" w:hAnsi="Gill Sans MT"/>
    </w:rPr>
  </w:style>
  <w:style w:type="paragraph" w:styleId="Verzeichnis3">
    <w:name w:val="toc 3"/>
    <w:basedOn w:val="Standard"/>
    <w:next w:val="Standard"/>
    <w:autoRedefine/>
    <w:uiPriority w:val="39"/>
    <w:rsid w:val="00AC6898"/>
    <w:pPr>
      <w:spacing w:after="100"/>
      <w:ind w:left="480"/>
    </w:pPr>
    <w:rPr>
      <w:rFonts w:ascii="Gill Sans MT" w:hAnsi="Gill Sans MT"/>
    </w:rPr>
  </w:style>
  <w:style w:type="paragraph" w:customStyle="1" w:styleId="SourceCode">
    <w:name w:val="Source Code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791</Words>
  <Characters>4990</Characters>
  <Application>Microsoft Office Word</Application>
  <DocSecurity>0</DocSecurity>
  <Lines>41</Lines>
  <Paragraphs>11</Paragraphs>
  <ScaleCrop>false</ScaleCrop>
  <Company>IVDK Institut Universität Göttingen</Company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sensitization in patients with allergic hand eczema: Patterns of sensitization and suspected allergen sources by eczema location: an analysis of patch test data of the Information Network of Departments of Dermatology (IVDK), 2005-2024</dc:title>
  <dc:creator/>
  <cp:keywords/>
  <cp:lastModifiedBy>Tobias Klinge</cp:lastModifiedBy>
  <cp:revision>2</cp:revision>
  <dcterms:created xsi:type="dcterms:W3CDTF">2025-10-20T11:42:00Z</dcterms:created>
  <dcterms:modified xsi:type="dcterms:W3CDTF">2025-10-20T11:47:00Z</dcterms:modified>
  <dc:language>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Lokalisation: Handinnenfläche(n) (BD)</vt:lpwstr>
  </property>
  <property fmtid="{D5CDD505-2E9C-101B-9397-08002B2CF9AE}" pid="11" name="toc-title">
    <vt:lpwstr>Inhaltsverzeichnis</vt:lpwstr>
  </property>
</Properties>
</file>