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>
      <w:pPr>
        <w:pStyle w:val="Subtitle"/>
      </w:pPr>
      <w:r>
        <w:t xml:space="preserve">Lokalisation: Handinnenfläche(n)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ahlfa-index"/>
    <w:p>
      <w:pPr>
        <w:pStyle w:val="berschrift1"/>
      </w:pPr>
      <w:r>
        <w:t xml:space="preserve">MOAHLFA-Index</w:t>
      </w:r>
    </w:p>
    <w:p>
      <w:pPr>
        <w:pStyle w:val="TableCaption"/>
      </w:pPr>
      <w:r>
        <w:t xml:space="preserve">MOAHLFA-Index, Lokalisation: Handinnenfläche(n), N=2173.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OAHLFA-Index, Lokalisation: Handinnenfläche(n), N=2173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Merkmal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Occupational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Atop.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&gt;= 40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66,9</w:t>
            </w:r>
          </w:p>
        </w:tc>
      </w:tr>
    </w:tbl>
    <w:p>
      <w:r>
        <w:br w:type="page"/>
      </w:r>
    </w:p>
    <w:bookmarkEnd w:id="20"/>
    <w:bookmarkStart w:id="21" w:name="kontaktstoffe"/>
    <w:p>
      <w:pPr>
        <w:pStyle w:val="berschrift1"/>
      </w:pPr>
      <w:r>
        <w:t xml:space="preserve">Kontaktstoffe</w:t>
      </w:r>
    </w:p>
    <w:p>
      <w:pPr>
        <w:pStyle w:val="TableCaption"/>
      </w:pPr>
      <w:r>
        <w:t xml:space="preserve">Kontaktstoffe, Lokalisation: Handinnenfläche(n), N=2173.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ontaktstoffe, Lokalisation: Handinnenfläche(n), N=2173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cosmetics, creams (leave on products)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gloves (various materials)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rubber (other)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disinfectants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drugs, external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soap, shampoo (rinse off products)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cleaning agents (e.g., detergents)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cutting fluids (water based)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leather (other)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(worked with)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other (e.g., coins)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perfume, deodorant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hair cosmetics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shoes, boots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clothing, textiles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chemicals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paints, laquers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plants (not food)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(additives)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neat oils, greases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classified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jewellery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nail cosmetics, artificial nails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dental protheses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tools (metal, wood, plastic)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 dusts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dental filling (e.g. amalgam)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drugs, internal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material (e.g., sutures, gel)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 paint, freshly painted rooms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implants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biocides, preservatives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polishes (shoe, furniture, car, etc)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pesticides, herbicides, etc.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fabric softener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jewellery, non-metal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laboratory chemicals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musical instruments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fehlende oder fehlerhafte 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indoor scents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glasses, contact lens, hearing 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newly build housing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textile furniture, carpets (new)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weapons, pyrotechnic article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</w:tbl>
    <w:p>
      <w:r>
        <w:br w:type="page"/>
      </w:r>
    </w:p>
    <w:bookmarkEnd w:id="21"/>
    <w:bookmarkStart w:id="22" w:name="bestehen-zusätzliche-kofaktoren"/>
    <w:p>
      <w:pPr>
        <w:pStyle w:val="berschrift1"/>
      </w:pPr>
      <w:r>
        <w:t xml:space="preserve">Bestehen zusätzliche Kofaktoren?</w:t>
      </w:r>
    </w:p>
    <w:p>
      <w:r>
        <w:br w:type="page"/>
      </w:r>
    </w:p>
    <w:bookmarkEnd w:id="22"/>
    <w:bookmarkStart w:id="23" w:name="zusätzlich-bestehende-kofaktoren"/>
    <w:p>
      <w:pPr>
        <w:pStyle w:val="berschrift1"/>
      </w:pPr>
      <w:r>
        <w:t xml:space="preserve">Zusätzlich bestehende Kofaktoren</w:t>
      </w:r>
    </w:p>
    <w:p>
      <w:r>
        <w:br w:type="page"/>
      </w:r>
    </w:p>
    <w:bookmarkEnd w:id="23"/>
    <w:bookmarkStart w:id="24" w:name="epikutantestung-standardreihe"/>
    <w:p>
      <w:pPr>
        <w:pStyle w:val="berschrift1"/>
      </w:pPr>
      <w:r>
        <w:t xml:space="preserve">Epikutantestung Standardreihe</w:t>
      </w:r>
    </w:p>
    <w:p>
      <w:pPr>
        <w:pStyle w:val="TableCaption"/>
      </w:pPr>
      <w:r>
        <w:t xml:space="preserve">Epikutantestung Standardreihe, Lokalisation: Handinnenfläche(n).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pikutantestung Standardreihe, Lokalisation: Handinnenfläche(n)."/>
      </w:tblPr>
      <w:tblGrid>
        <w:gridCol w:w="435"/>
        <w:gridCol w:w="5047"/>
        <w:gridCol w:w="1044"/>
        <w:gridCol w:w="435"/>
        <w:gridCol w:w="435"/>
        <w:gridCol w:w="522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Sub.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Testzub.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Proz.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Methylchloroisothiazolinone (MCI/MI)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ppm aq.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Bufexamac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Cetostearyl alcohol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Methyldibromo glutaronitrile (dibromdicyanobutane)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Methyldibromo glutaronitrile (dibromdicyanobutane)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Fragrance 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Epoxy resin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Formaldehyde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aq.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Potassium dichromate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Cobalt (II)-chloride, 6*H2O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Colophony (Rosin)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Mercapto mix (MBT,CBS,MBTS,MOR)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Mercaptobenzothiazole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Mercaptobenzothiazole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N-Isopropyl-N’-phenyl-p-phenylene diamine (IPPD)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Nickel (II)-sulfate hexahydrate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p-Phenylene diamine (PPD) (CI 76060)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p-tert.-Butylphenol formaldehyde resin (PTBFR)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Paraben 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Balsam of Peru (Myroxylon pereirae)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Sorbitan sesquioleate (SSQ)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Oil of turpentine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Thiuram 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Lanolin (wool fat) alcohols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Zinc diethyldithiocarbamate (ZDEC)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2-Hydroxyethyl methacrylae (HEMA)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1,2-Benzisothiazolin-3-one, sodium salt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Compositae 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Mercapto mix (CBS, MBTS, MOR)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Methyl isothiazolinone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0,1 % aq.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Disperse blue mix 124/106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Iodopropynylbutyl carbamate (IPBC)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4-(4-Hydroxy-4-methylpentyl)-3-cyclohexen-1-carboxaldehyd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Bronopol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Ylang Ylang 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Ylang Ylang 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Jasmine Absolute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Jasmine Absolute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Sandalwood 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Fragrance Mix 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Compositae 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Compositae Mix 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mix (NA251)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5 % pet.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</w:tbl>
    <w:bookmarkEnd w:id="24"/>
    <w:sectPr w:rsidR="00B849D3" w:rsidRPr="001C75B6">
      <w:headerReference r:id="rId9" w:type="default"/>
      <w:footerReference r:id="rId10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14:paraId="632BD7E3" w14:textId="17CEEDC1"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14:paraId="796C7351" w14:textId="77777777" w:rsidR="00F348A0" w:rsidRDefault="00F348A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89BD6" w14:textId="1CAAF65E"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397B86" w14:textId="77777777" w:rsidR="002A73B6" w:rsidRDefault="002A73B6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1B80493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656DA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qFormat="1" w:uiPriority="3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after="80" w:before="360"/>
      <w:outlineLvl w:val="0"/>
    </w:pPr>
    <w:rPr>
      <w:rFonts w:ascii="Gill Sans MT" w:cstheme="majorBidi" w:eastAsiaTheme="majorEastAsia" w:hAnsi="Gill Sans MT"/>
      <w:color w:themeColor="text2" w:themeTint="BF" w:val="215E99"/>
      <w:sz w:val="40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berschrift5" w:type="paragraph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1C75B6"/>
    <w:pPr>
      <w:spacing w:after="180" w:before="180"/>
    </w:pPr>
    <w:rPr>
      <w:rFonts w:ascii="Gill Sans MT" w:hAnsi="Gill Sans MT"/>
      <w:sz w:val="22"/>
    </w:r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cstheme="majorBidi" w:eastAsiaTheme="majorEastAsia" w:hAnsi="Gill Sans MT"/>
      <w:sz w:val="48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1C75B6"/>
    <w:rPr>
      <w:rFonts w:ascii="Gill Sans MT" w:cstheme="majorBidi" w:eastAsiaTheme="majorEastAsia" w:hAnsi="Gill Sans MT"/>
      <w:sz w:val="48"/>
      <w:szCs w:val="56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rsid w:val="00213741"/>
    <w:pPr>
      <w:keepNext/>
      <w:keepLines/>
      <w:spacing w:after="0" w:before="300"/>
      <w:jc w:val="center"/>
    </w:pPr>
    <w:rPr>
      <w:rFonts w:ascii="Gill Sans MT" w:hAnsi="Gill Sans MT"/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rsid w:val="00213741"/>
    <w:pPr>
      <w:keepNext/>
      <w:keepLines/>
      <w:spacing w:after="300" w:before="100"/>
    </w:pPr>
    <w:rPr>
      <w:rFonts w:ascii="Gill Sans MT" w:hAnsi="Gill Sans MT"/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basedOn w:val="Absatz-Standardschriftart"/>
    <w:link w:val="berschrift1"/>
    <w:uiPriority w:val="9"/>
    <w:rsid w:val="00CB690C"/>
    <w:rPr>
      <w:rFonts w:ascii="Gill Sans MT" w:cstheme="majorBidi" w:eastAsiaTheme="majorEastAsia" w:hAnsi="Gill Sans MT"/>
      <w:color w:themeColor="text2" w:themeTint="BF" w:val="215E99"/>
      <w:sz w:val="40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uiPriority w:val="99"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themeColor="accent1" w:themeShade="BF" w:val="0F4761"/>
    </w:rPr>
  </w:style>
  <w:style w:styleId="Kopfzeile" w:type="paragraph">
    <w:name w:val="header"/>
    <w:basedOn w:val="Standard"/>
    <w:link w:val="KopfzeileZchn"/>
    <w:uiPriority w:val="99"/>
    <w:rsid w:val="002A73B6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2A73B6"/>
  </w:style>
  <w:style w:styleId="Fuzeile" w:type="paragraph">
    <w:name w:val="footer"/>
    <w:basedOn w:val="Standard"/>
    <w:link w:val="FuzeileZchn"/>
    <w:uiPriority w:val="99"/>
    <w:rsid w:val="002A73B6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uiPriority w:val="99"/>
    <w:rsid w:val="002A73B6"/>
  </w:style>
  <w:style w:styleId="Verzeichnis1" w:type="paragraph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styleId="Verzeichnis2" w:type="paragraph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styleId="Verzeichnis3" w:type="paragraph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589</Characters>
  <Application>Microsoft Office Word</Application>
  <DocSecurity>0</DocSecurity>
  <Lines>4</Lines>
  <Paragraphs>1</Paragraphs>
  <ScaleCrop>false</ScaleCrop>
  <Company>IVDK Institut Universität Göttingen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dc:language>de</dc:language>
  <cp:keywords/>
  <dcterms:created xsi:type="dcterms:W3CDTF">2025-10-20T11:39:52Z</dcterms:created>
  <dcterms:modified xsi:type="dcterms:W3CDTF">2025-10-20T11:39:52Z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Handinnenfläche(n)</vt:lpwstr>
  </property>
  <property fmtid="{D5CDD505-2E9C-101B-9397-08002B2CF9AE}" pid="11" name="toc-title">
    <vt:lpwstr>Inhaltsverzeichnis</vt:lpwstr>
  </property>
</Properties>
</file>