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Instantly Shareable Playtest</w:t>
      </w:r>
    </w:p>
    <w:p>
      <w:pPr>
        <w:pStyle w:val="Subtitle"/>
      </w:pPr>
      <w:r>
        <w:t xml:space="preserve">Spec at a glance — for reviewers</w:t>
      </w:r>
    </w:p>
    <w:p>
      <w:pPr>
        <w:pStyle w:val="Author"/>
      </w:pPr>
      <w:r>
        <w:t xml:space="preserve">Melanie Chen · Microsoft Gaming Intern (Cloud Streaming)</w:t>
      </w:r>
    </w:p>
    <w:p>
      <w:pPr>
        <w:pStyle w:val="Date"/>
      </w:pPr>
      <w:r>
        <w:t xml:space="preserve">Draft v1 — 2026</w:t>
      </w:r>
    </w:p>
    <w:bookmarkStart w:id="24" w:name="instantly-shareable-playtest"/>
    <w:p>
      <w:pPr>
        <w:pStyle w:val="Heading1"/>
      </w:pPr>
      <w:r>
        <w:t xml:space="preserve">Instantly Shareable Playtest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Melanie Chen (xPlaytest)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Spec v1 — ready for implementation</w:t>
      </w:r>
      <w:r>
        <w:t xml:space="preserve"> </w:t>
      </w:r>
      <w:r>
        <w:rPr>
          <w:b/>
          <w:bCs/>
        </w:rPr>
        <w:t xml:space="preserve">Companion docs:</w:t>
      </w:r>
      <w:r>
        <w:t xml:space="preserve"> </w:t>
      </w:r>
      <w:hyperlink r:id="rId9">
        <w:r>
          <w:rPr>
            <w:rStyle w:val="VerbatimChar"/>
          </w:rPr>
          <w:t xml:space="preserve">SPEC.md</w:t>
        </w:r>
      </w:hyperlink>
      <w:r>
        <w:t xml:space="preserve"> </w:t>
      </w:r>
      <w:r>
        <w:t xml:space="preserve">(long form),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,</w:t>
      </w:r>
      <w:r>
        <w:t xml:space="preserve"> </w:t>
      </w:r>
      <w:hyperlink r:id="rId11">
        <w:r>
          <w:rPr>
            <w:rStyle w:val="VerbatimChar"/>
          </w:rPr>
          <w:t xml:space="preserve">openapi/playtest-ingestion.yaml</w:t>
        </w:r>
      </w:hyperlink>
      <w:r>
        <w:t xml:space="preserve">,</w:t>
      </w:r>
      <w:r>
        <w:t xml:space="preserve"> </w:t>
      </w:r>
      <w:hyperlink r:id="rId12">
        <w:r>
          <w:rPr>
            <w:rStyle w:val="VerbatimChar"/>
          </w:rPr>
          <w:t xml:space="preserve">ado/ado-tasks.md</w:t>
        </w:r>
      </w:hyperlink>
    </w:p>
    <w:p>
      <w:r>
        <w:pict>
          <v:rect style="width:0;height:1.5pt" o:hralign="center" o:hrstd="t" o:hr="t"/>
        </w:pict>
      </w:r>
    </w:p>
    <w:bookmarkStart w:id="13" w:name="what-we-are-building"/>
    <w:p>
      <w:pPr>
        <w:pStyle w:val="Heading2"/>
      </w:pPr>
      <w:r>
        <w:t xml:space="preserve">1. What we are building</w:t>
      </w:r>
    </w:p>
    <w:p>
      <w:pPr>
        <w:pStyle w:val="FirstParagraph"/>
      </w:pPr>
      <w:r>
        <w:t xml:space="preserve">Today xPlaytest distributes private pre-release builds to testers as downloadable installs. Modern games are hundreds of gigabytes — downloads are slow and hardware does not scale.</w:t>
      </w:r>
    </w:p>
    <w:p>
      <w:pPr>
        <w:pStyle w:val="BodyText"/>
      </w:pPr>
      <w:r>
        <w:rPr>
          <w:b/>
          <w:bCs/>
        </w:rPr>
        <w:t xml:space="preserve">This project adds a streaming option.</w:t>
      </w:r>
      <w:r>
        <w:t xml:space="preserve"> </w:t>
      </w:r>
      <w:r>
        <w:t xml:space="preserve">When a creator publishes a playtest with</w:t>
      </w:r>
      <w:r>
        <w:t xml:space="preserve"> </w:t>
      </w:r>
      <w:r>
        <w:rPr>
          <w:b/>
          <w:bCs/>
        </w:rPr>
        <w:t xml:space="preserve">Enable Cloud Streaming</w:t>
      </w:r>
      <w:r>
        <w:t xml:space="preserve"> </w:t>
      </w:r>
      <w:r>
        <w:t xml:space="preserve">checked, the build is ingested into xCloud and becomes streamable through a shareable link,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the existing download flow. The behavior is purely additive: creators who opt out are unaffected.</w:t>
      </w:r>
    </w:p>
    <w:bookmarkEnd w:id="13"/>
    <w:bookmarkStart w:id="14" w:name="end-to-end-flow"/>
    <w:p>
      <w:pPr>
        <w:pStyle w:val="Heading2"/>
      </w:pPr>
      <w:r>
        <w:t xml:space="preserve">2. End-to-end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#</w:t>
            </w:r>
          </w:p>
        </w:tc>
        <w:tc>
          <w:tcPr/>
          <w:p>
            <w:pPr>
              <w:pStyle w:val="CompactParagraph"/>
            </w:pPr>
            <w:r>
              <w:t xml:space="preserve">Phase</w:t>
            </w:r>
          </w:p>
        </w:tc>
        <w:tc>
          <w:tcPr/>
          <w:p>
            <w:pPr>
              <w:pStyle w:val="CompactParagraph"/>
            </w:pPr>
            <w:r>
              <w:t xml:space="preserve">What happens</w:t>
            </w:r>
          </w:p>
        </w:tc>
        <w:tc>
          <w:tcPr/>
          <w:p>
            <w:pPr>
              <w:pStyle w:val="CompactParagraph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1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Publish</w:t>
            </w:r>
          </w:p>
        </w:tc>
        <w:tc>
          <w:tcPr/>
          <w:p>
            <w:pPr>
              <w:pStyle w:val="CompactParagraph"/>
            </w:pPr>
            <w:r>
              <w:t xml:space="preserve">Creator hits Publish in Partner Center. The publish workflow runs as today and gains a new final state,</w:t>
            </w:r>
            <w:r>
              <w:t xml:space="preserve"> </w:t>
            </w:r>
            <w:r>
              <w:rPr>
                <w:rStyle w:val="VerbatimChar"/>
              </w:rPr>
              <w:t xml:space="preserve">XCloudIngestionTrigger</w:t>
            </w:r>
            <w:r>
              <w:t xml:space="preserve">.</w:t>
            </w:r>
          </w:p>
        </w:tc>
        <w:tc>
          <w:tcPr/>
          <w:p>
            <w:pPr>
              <w:pStyle w:val="CompactParagraph"/>
            </w:pPr>
            <w:r>
              <w:t xml:space="preserve">xPlaytest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2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Handoff</w:t>
            </w:r>
          </w:p>
        </w:tc>
        <w:tc>
          <w:tcPr/>
          <w:p>
            <w:pPr>
              <w:pStyle w:val="CompactParagraph"/>
            </w:pPr>
            <w:r>
              <w:t xml:space="preserve">The new state POSTs a</w:t>
            </w:r>
            <w:r>
              <w:t xml:space="preserve"> </w:t>
            </w:r>
            <w:r>
              <w:rPr>
                <w:rStyle w:val="VerbatimChar"/>
              </w:rPr>
              <w:t xml:space="preserve">PlaytestIngestionJobParameters</w:t>
            </w:r>
            <w:r>
              <w:t xml:space="preserve"> </w:t>
            </w:r>
            <w:r>
              <w:t xml:space="preserve">payload to SAGE and stores the returned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. Failure is non-fatal — download still publishes.</w:t>
            </w:r>
          </w:p>
        </w:tc>
        <w:tc>
          <w:tcPr/>
          <w:p>
            <w:pPr>
              <w:pStyle w:val="CompactParagraph"/>
            </w:pPr>
            <w:r>
              <w:t xml:space="preserve">xPlaytest → xCloud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3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Ingestion</w:t>
            </w:r>
          </w:p>
        </w:tc>
        <w:tc>
          <w:tcPr/>
          <w:p>
            <w:pPr>
              <w:pStyle w:val="CompactParagraph"/>
            </w:pPr>
            <w:r>
              <w:t xml:space="preserve">A new</w:t>
            </w:r>
            <w:r>
              <w:t xml:space="preserve"> </w:t>
            </w:r>
            <w:r>
              <w:rPr>
                <w:rStyle w:val="VerbatimChar"/>
              </w:rPr>
              <w:t xml:space="preserve">PlaytestTitleIngestionWorkflow</w:t>
            </w:r>
            <w:r>
              <w:t xml:space="preserve"> </w:t>
            </w:r>
            <w:r>
              <w:t xml:space="preserve">chains asset ingestion, creates a private offering</w:t>
            </w:r>
            <w:r>
              <w:t xml:space="preserve"> </w:t>
            </w:r>
            <w:r>
              <w:rPr>
                <w:rStyle w:val="VerbatimChar"/>
              </w:rPr>
              <w:t xml:space="preserve">xpt-{id}</w:t>
            </w:r>
            <w:r>
              <w:t xml:space="preserve">, attaches the title, and waits for install readiness.</w:t>
            </w:r>
          </w:p>
        </w:tc>
        <w:tc>
          <w:tcPr/>
          <w:p>
            <w:pPr>
              <w:pStyle w:val="CompactParagraph"/>
            </w:pPr>
            <w:r>
              <w:t xml:space="preserve">xCloud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4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Streamable</w:t>
            </w:r>
          </w:p>
        </w:tc>
        <w:tc>
          <w:tcPr/>
          <w:p>
            <w:pPr>
              <w:pStyle w:val="CompactParagraph"/>
            </w:pPr>
            <w:r>
              <w:t xml:space="preserve">xPlaytest polls SAGE for terminal state, sets</w:t>
            </w:r>
            <w:r>
              <w:t xml:space="preserve"> </w:t>
            </w:r>
            <w:r>
              <w:rPr>
                <w:rStyle w:val="VerbatimChar"/>
              </w:rPr>
              <w:t xml:space="preserve">PlaytestStatus = StreamingReady</w:t>
            </w:r>
            <w:r>
              <w:t xml:space="preserve">, and surfaces the launch URL.</w:t>
            </w:r>
          </w:p>
        </w:tc>
        <w:tc>
          <w:tcPr/>
          <w:p>
            <w:pPr>
              <w:pStyle w:val="CompactParagraph"/>
            </w:pPr>
            <w:r>
              <w:t xml:space="preserve">xCloud → xPlaytest</w:t>
            </w:r>
          </w:p>
        </w:tc>
      </w:tr>
    </w:tbl>
    <w:p>
      <w:pPr>
        <w:pStyle w:val="BodyText"/>
      </w:pPr>
      <w:r>
        <w:t xml:space="preserve">A code-grounded sequence diagram lives in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.</w:t>
      </w:r>
    </w:p>
    <w:bookmarkEnd w:id="14"/>
    <w:bookmarkStart w:id="15" w:name="design-decisions"/>
    <w:p>
      <w:pPr>
        <w:pStyle w:val="Heading2"/>
      </w:pPr>
      <w:r>
        <w:t xml:space="preserve">3. Design decisions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Streaming is opt-in, additive</w:t>
      </w:r>
      <w:r>
        <w:t xml:space="preserve"> </w:t>
      </w:r>
      <w:r>
        <w:t xml:space="preserve">to the download flow — keeps the existing creator path unaffected and the new path low-risk.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One playtest = one title = one offering</w:t>
      </w:r>
      <w:r>
        <w:t xml:space="preserve"> </w:t>
      </w:r>
      <w:r>
        <w:t xml:space="preserve">in v1. Each playtest targets a distinct audience, so the auth boundary stays 1:1. Clustering is a v1.1 concern.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PC only in v1.</w:t>
      </w:r>
      <w:r>
        <w:t xml:space="preserve"> </w:t>
      </w:r>
      <w:r>
        <w:t xml:space="preserve">The existing publish path already targets</w:t>
      </w:r>
      <w:r>
        <w:t xml:space="preserve"> </w:t>
      </w:r>
      <w:r>
        <w:rPr>
          <w:rStyle w:val="VerbatimChar"/>
        </w:rPr>
        <w:t xml:space="preserve">WINDOWS.DESKTOP</w:t>
      </w:r>
      <w:r>
        <w:t xml:space="preserve">; console support adds Xbox-only allocator and title-id handling and is deferred.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Auth is gated at the offering level</w:t>
      </w:r>
      <w:r>
        <w:t xml:space="preserve">, not per title — one DNA-group check at offering entry, matching the pattern TestX already uses.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Bespoke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/playtest/ingestion</w:t>
      </w:r>
      <w:r>
        <w:t xml:space="preserve"> </w:t>
      </w:r>
      <w:r>
        <w:t xml:space="preserve">rather than a generic</w:t>
      </w:r>
      <w:r>
        <w:t xml:space="preserve"> </w:t>
      </w:r>
      <w:r>
        <w:rPr>
          <w:rStyle w:val="VerbatimChar"/>
        </w:rPr>
        <w:t xml:space="preserve">CreateOfferingFromStoreData</w:t>
      </w:r>
      <w:r>
        <w:t xml:space="preserve">. Keeps the contract small and lets us encode playtest defaults (RETAIL sandbox, private audience) server-side. A generic surface is the future direction but out of summer scope.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Polling for terminal state</w:t>
      </w:r>
      <w:r>
        <w:t xml:space="preserve">, not callbacks. SAGE is a request/response proxy today; cross-tenant callbacks need a message bus that does not yet exist. Polling reuses the publish workflow’s existing retry primitives.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Install lookup uses a single flight id</w:t>
      </w:r>
      <w:r>
        <w:t xml:space="preserve"> </w:t>
      </w:r>
      <w:r>
        <w:t xml:space="preserve">— the lex-smallest DNA-group GUID. The install pipeline only accepts one, and all groups in a playtest point to the same build, so the choice is deterministic and re-run-stable. The audience check (XC5) still evaluates the full set.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Offering id is opaque</w:t>
      </w:r>
      <w:r>
        <w:t xml:space="preserve"> </w:t>
      </w:r>
      <w:r>
        <w:t xml:space="preserve">(</w:t>
      </w:r>
      <w:r>
        <w:rPr>
          <w:rStyle w:val="VerbatimChar"/>
        </w:rPr>
        <w:t xml:space="preserve">xpt-{shortId}</w:t>
      </w:r>
      <w:r>
        <w:t xml:space="preserve">) because it has a 32-char cap and is auth-critical.</w:t>
      </w:r>
      <w:r>
        <w:t xml:space="preserve"> </w:t>
      </w:r>
      <w:r>
        <w:rPr>
          <w:b/>
          <w:bCs/>
        </w:rPr>
        <w:t xml:space="preserve">Title id is name-derived</w:t>
      </w:r>
      <w:r>
        <w:t xml:space="preserve"> </w:t>
      </w:r>
      <w:r>
        <w:t xml:space="preserve">for readability — strip the playtest name to alphanumeric and append the product id for uniqueness.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Short-term cross-tenant auth runs Green → Corp</w:t>
      </w:r>
      <w:r>
        <w:t xml:space="preserve"> </w:t>
      </w:r>
      <w:r>
        <w:t xml:space="preserve">via SAGE, riding an in-flight PR. The long-term PME story is owned by the GSS platform team and is out of scope.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Delete is a tombstone + 7-day GC</w:t>
      </w:r>
      <w:r>
        <w:t xml:space="preserve">, not a synchronous hard delete. SFI requires manual PR approval for Partner Registry writes, so a true hard delete is not achievable in v1. Tombstoning clears</w:t>
      </w:r>
      <w:r>
        <w:t xml:space="preserve"> </w:t>
      </w:r>
      <w:r>
        <w:rPr>
          <w:rStyle w:val="VerbatimChar"/>
        </w:rPr>
        <w:t xml:space="preserve">AllowedDnaGroups</w:t>
      </w:r>
      <w:r>
        <w:t xml:space="preserve"> </w:t>
      </w:r>
      <w:r>
        <w:t xml:space="preserve">immediately so testers lose access, and the offering disappears from the DevApi listing.</w:t>
      </w:r>
      <w:r>
        <w:t xml:space="preserve"> </w:t>
      </w:r>
      <w:r>
        <w:rPr>
          <w:i/>
          <w:iCs/>
        </w:rPr>
        <w:t xml:space="preserve">Needs explicit sign-off from xCloud reviewers.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Streaming-enabled playtests must carry an explicit expiration.</w:t>
      </w:r>
      <w:r>
        <w:t xml:space="preserve"> </w:t>
      </w:r>
      <w:r>
        <w:t xml:space="preserve">xCloud needs a bounded end date; download-only playtests are unaffected. UI default is 90 days with a soft warning above 180.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Offering write + title attach are bundled into one PR</w:t>
      </w:r>
      <w:r>
        <w:t xml:space="preserve"> </w:t>
      </w:r>
      <w:r>
        <w:t xml:space="preserve">— cuts the manual SFI approval cost in half (one PR per publish instead of two).</w:t>
      </w:r>
    </w:p>
    <w:p>
      <w:pPr>
        <w:pStyle w:val="CompactParagraph"/>
        <w:numPr>
          <w:ilvl w:val="0"/>
          <w:numId w:val="1001"/>
        </w:numPr>
      </w:pPr>
      <w:r>
        <w:rPr>
          <w:b/>
          <w:bCs/>
        </w:rPr>
        <w:t xml:space="preserve">External API is unversioned today; internal routes live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/v3/...</w:t>
      </w:r>
      <w:r>
        <w:t xml:space="preserve"> </w:t>
      </w:r>
      <w:r>
        <w:t xml:space="preserve">to match existing SAGE and</w:t>
      </w:r>
      <w:r>
        <w:t xml:space="preserve"> </w:t>
      </w:r>
      <w:r>
        <w:rPr>
          <w:rStyle w:val="VerbatimChar"/>
        </w:rPr>
        <w:t xml:space="preserve">WorkflowsControllerV3</w:t>
      </w:r>
      <w:r>
        <w:t xml:space="preserve"> </w:t>
      </w:r>
      <w:r>
        <w:t xml:space="preserve">conventions. Future breaking changes bump to</w:t>
      </w:r>
      <w:r>
        <w:t xml:space="preserve"> </w:t>
      </w:r>
      <w:r>
        <w:rPr>
          <w:rStyle w:val="VerbatimChar"/>
        </w:rPr>
        <w:t xml:space="preserve">/v2/playtest/ingestion</w:t>
      </w:r>
      <w:r>
        <w:t xml:space="preserve">; additive optional fields do not require a bump.</w:t>
      </w:r>
    </w:p>
    <w:bookmarkEnd w:id="15"/>
    <w:bookmarkStart w:id="18" w:name="work-breakdown"/>
    <w:p>
      <w:pPr>
        <w:pStyle w:val="Heading2"/>
      </w:pPr>
      <w:r>
        <w:t xml:space="preserve">4. Work breakdown</w:t>
      </w:r>
    </w:p>
    <w:p>
      <w:pPr>
        <w:pStyle w:val="FirstParagraph"/>
      </w:pPr>
      <w:r>
        <w:t xml:space="preserve">Full task-level breakdown with acceptance criteria is in</w:t>
      </w:r>
      <w:r>
        <w:t xml:space="preserve"> </w:t>
      </w:r>
      <w:hyperlink r:id="rId12">
        <w:r>
          <w:rPr>
            <w:rStyle w:val="VerbatimChar"/>
          </w:rPr>
          <w:t xml:space="preserve">ado/ado-tasks.md</w:t>
        </w:r>
      </w:hyperlink>
      <w:r>
        <w:t xml:space="preserve">. The roll-up below uses SWAGs in developer-days.</w:t>
      </w:r>
    </w:p>
    <w:bookmarkStart w:id="16" w:name="xplaytest-25d"/>
    <w:p>
      <w:pPr>
        <w:pStyle w:val="Heading3"/>
      </w:pPr>
      <w:r>
        <w:t xml:space="preserve">xPlaytest (25d)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ID</w:t>
            </w:r>
          </w:p>
        </w:tc>
        <w:tc>
          <w:tcPr/>
          <w:p>
            <w:pPr>
              <w:pStyle w:val="CompactParagraph"/>
            </w:pPr>
            <w:r>
              <w:t xml:space="preserve">Deliverable</w:t>
            </w:r>
          </w:p>
        </w:tc>
        <w:tc>
          <w:tcPr/>
          <w:p>
            <w:pPr>
              <w:pStyle w:val="CompactParagraph"/>
            </w:pPr>
            <w:r>
              <w:t xml:space="preserve">SWAG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PT1</w:t>
            </w:r>
          </w:p>
        </w:tc>
        <w:tc>
          <w:tcPr/>
          <w:p>
            <w:pPr>
              <w:pStyle w:val="CompactParagraph"/>
            </w:pPr>
            <w:r>
              <w:t xml:space="preserve">Insert</w:t>
            </w:r>
            <w:r>
              <w:t xml:space="preserve"> </w:t>
            </w:r>
            <w:r>
              <w:rPr>
                <w:rStyle w:val="VerbatimChar"/>
              </w:rPr>
              <w:t xml:space="preserve">XCloudIngestionTrigger</w:t>
            </w:r>
            <w:r>
              <w:t xml:space="preserve"> </w:t>
            </w:r>
            <w:r>
              <w:t xml:space="preserve">state in</w:t>
            </w:r>
            <w:r>
              <w:t xml:space="preserve"> </w:t>
            </w:r>
            <w:r>
              <w:rPr>
                <w:rStyle w:val="VerbatimChar"/>
              </w:rPr>
              <w:t xml:space="preserve">XPackagePlaytestPublishWorkflow</w:t>
            </w:r>
            <w:r>
              <w:t xml:space="preserve">; add publish-time validators (streaming requires expiration; seller allow-list)</w:t>
            </w:r>
          </w:p>
        </w:tc>
        <w:tc>
          <w:tcPr/>
          <w:p>
            <w:pPr>
              <w:pStyle w:val="CompactParagraph"/>
            </w:pPr>
            <w:r>
              <w:t xml:space="preserve">6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PT2</w:t>
            </w:r>
          </w:p>
        </w:tc>
        <w:tc>
          <w:tcPr/>
          <w:p>
            <w:pPr>
              <w:pStyle w:val="CompactParagraph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StoreAsset</w:t>
            </w:r>
            <w:r>
              <w:t xml:space="preserve"> </w:t>
            </w:r>
            <w:r>
              <w:t xml:space="preserve">from playtest product / package data; resolve</w:t>
            </w:r>
            <w:r>
              <w:t xml:space="preserve"> </w:t>
            </w:r>
            <w:r>
              <w:rPr>
                <w:rStyle w:val="VerbatimChar"/>
              </w:rPr>
              <w:t xml:space="preserve">XboxTitleId</w:t>
            </w:r>
            <w:r>
              <w:t xml:space="preserve"> </w:t>
            </w:r>
            <w:r>
              <w:t xml:space="preserve">from XProduct</w:t>
            </w:r>
            <w:r>
              <w:t xml:space="preserve"> </w:t>
            </w:r>
            <w:r>
              <w:rPr>
                <w:rStyle w:val="VerbatimChar"/>
              </w:rPr>
              <w:t xml:space="preserve">alternateIds</w:t>
            </w:r>
            <w:r>
              <w:t xml:space="preserve">; ship</w:t>
            </w:r>
            <w:r>
              <w:t xml:space="preserve"> </w:t>
            </w:r>
            <w:r>
              <w:rPr>
                <w:rStyle w:val="VerbatimChar"/>
              </w:rPr>
              <w:t xml:space="preserve">AumID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Paragraph"/>
            </w:pPr>
            <w:r>
              <w:t xml:space="preserve">4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PT3</w:t>
            </w:r>
          </w:p>
        </w:tc>
        <w:tc>
          <w:tcPr/>
          <w:p>
            <w:pPr>
              <w:pStyle w:val="CompactParagraph"/>
            </w:pPr>
            <w:r>
              <w:t xml:space="preserve">Project resolved DNA-group IDs into the offering config</w:t>
            </w:r>
          </w:p>
        </w:tc>
        <w:tc>
          <w:tcPr/>
          <w:p>
            <w:pPr>
              <w:pStyle w:val="CompactParagraph"/>
            </w:pPr>
            <w:r>
              <w:t xml:space="preserve">1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PT4</w:t>
            </w:r>
          </w:p>
        </w:tc>
        <w:tc>
          <w:tcPr/>
          <w:p>
            <w:pPr>
              <w:pStyle w:val="CompactParagraph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XCloudIngestionClient</w:t>
            </w:r>
            <w:r>
              <w:t xml:space="preserve"> </w:t>
            </w:r>
            <w:r>
              <w:t xml:space="preserve">(cross-tenant S2S, retries,</w:t>
            </w:r>
            <w:r>
              <w:t xml:space="preserve"> </w:t>
            </w:r>
            <w:r>
              <w:rPr>
                <w:rStyle w:val="VerbatimChar"/>
              </w:rPr>
              <w:t xml:space="preserve">202</w:t>
            </w:r>
            <w:r>
              <w:t xml:space="preserve">/</w:t>
            </w:r>
            <w:r>
              <w:rPr>
                <w:rStyle w:val="VerbatimChar"/>
              </w:rPr>
              <w:t xml:space="preserve">409</w:t>
            </w:r>
            <w:r>
              <w:t xml:space="preserve"> </w:t>
            </w:r>
            <w:r>
              <w:t xml:space="preserve">handling,</w:t>
            </w:r>
            <w:r>
              <w:t xml:space="preserve"> </w:t>
            </w:r>
            <w:r>
              <w:rPr>
                <w:rStyle w:val="VerbatimChar"/>
              </w:rPr>
              <w:t xml:space="preserve">jobId</w:t>
            </w:r>
            <w:r>
              <w:t xml:space="preserve"> </w:t>
            </w:r>
            <w:r>
              <w:t xml:space="preserve">persistence)</w:t>
            </w:r>
          </w:p>
        </w:tc>
        <w:tc>
          <w:tcPr/>
          <w:p>
            <w:pPr>
              <w:pStyle w:val="CompactParagraph"/>
            </w:pPr>
            <w:r>
              <w:t xml:space="preserve">3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PT5</w:t>
            </w:r>
          </w:p>
        </w:tc>
        <w:tc>
          <w:tcPr/>
          <w:p>
            <w:pPr>
              <w:pStyle w:val="CompactParagraph"/>
            </w:pPr>
            <w:r>
              <w:t xml:space="preserve">Polling loop (exponential backoff) + background reconciliation job for slow ingestions;</w:t>
            </w:r>
            <w:r>
              <w:t xml:space="preserve"> </w:t>
            </w:r>
            <w:r>
              <w:rPr>
                <w:rStyle w:val="VerbatimChar"/>
              </w:rPr>
              <w:t xml:space="preserve">StreamingReady</w:t>
            </w:r>
            <w:r>
              <w:t xml:space="preserve"> </w:t>
            </w:r>
            <w:r>
              <w:t xml:space="preserve">state + launch URL</w:t>
            </w:r>
          </w:p>
        </w:tc>
        <w:tc>
          <w:tcPr/>
          <w:p>
            <w:pPr>
              <w:pStyle w:val="CompactParagraph"/>
            </w:pPr>
            <w:r>
              <w:t xml:space="preserve">6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PT6</w:t>
            </w:r>
          </w:p>
        </w:tc>
        <w:tc>
          <w:tcPr/>
          <w:p>
            <w:pPr>
              <w:pStyle w:val="CompactParagraph"/>
            </w:pPr>
            <w:r>
              <w:t xml:space="preserve">Lifecycle updates: audience / expiry change → re-trigger; delete → call</w:t>
            </w:r>
            <w:r>
              <w:t xml:space="preserve"> </w:t>
            </w:r>
            <w:r>
              <w:rPr>
                <w:rStyle w:val="VerbatimChar"/>
              </w:rPr>
              <w:t xml:space="preserve">DELETE …/by-playtest/{id}</w:t>
            </w:r>
          </w:p>
        </w:tc>
        <w:tc>
          <w:tcPr/>
          <w:p>
            <w:pPr>
              <w:pStyle w:val="CompactParagraph"/>
            </w:pPr>
            <w:r>
              <w:t xml:space="preserve">5</w:t>
            </w:r>
          </w:p>
        </w:tc>
      </w:tr>
    </w:tbl>
    <w:bookmarkEnd w:id="16"/>
    <w:bookmarkStart w:id="17" w:name="xcloud-27d-plus-2d-demo-prep"/>
    <w:p>
      <w:pPr>
        <w:pStyle w:val="Heading3"/>
      </w:pPr>
      <w:r>
        <w:t xml:space="preserve">xCloud (27d, plus 2d demo prep)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ID</w:t>
            </w:r>
          </w:p>
        </w:tc>
        <w:tc>
          <w:tcPr/>
          <w:p>
            <w:pPr>
              <w:pStyle w:val="CompactParagraph"/>
            </w:pPr>
            <w:r>
              <w:t xml:space="preserve">Service</w:t>
            </w:r>
          </w:p>
        </w:tc>
        <w:tc>
          <w:tcPr/>
          <w:p>
            <w:pPr>
              <w:pStyle w:val="CompactParagraph"/>
            </w:pPr>
            <w:r>
              <w:t xml:space="preserve">Deliverable</w:t>
            </w:r>
          </w:p>
        </w:tc>
        <w:tc>
          <w:tcPr/>
          <w:p>
            <w:pPr>
              <w:pStyle w:val="CompactParagraph"/>
            </w:pPr>
            <w:r>
              <w:t xml:space="preserve">SWAG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XC1</w:t>
            </w:r>
          </w:p>
        </w:tc>
        <w:tc>
          <w:tcPr/>
          <w:p>
            <w:pPr>
              <w:pStyle w:val="CompactParagraph"/>
            </w:pPr>
            <w:r>
              <w:t xml:space="preserve">SAGE</w:t>
            </w:r>
          </w:p>
        </w:tc>
        <w:tc>
          <w:tcPr/>
          <w:p>
            <w:pPr>
              <w:pStyle w:val="CompactParagraph"/>
            </w:pPr>
            <w:r>
              <w:t xml:space="preserve">New routes:</w:t>
            </w:r>
            <w:r>
              <w:t xml:space="preserve"> </w:t>
            </w:r>
            <w:r>
              <w:rPr>
                <w:rStyle w:val="VerbatimChar"/>
              </w:rPr>
              <w:t xml:space="preserve">POST /playtest/ingestion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…/{jobId}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…/by-playtest/{id}</w:t>
            </w:r>
          </w:p>
        </w:tc>
        <w:tc>
          <w:tcPr/>
          <w:p>
            <w:pPr>
              <w:pStyle w:val="CompactParagraph"/>
            </w:pPr>
            <w:r>
              <w:t xml:space="preserve">3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XC2</w:t>
            </w:r>
          </w:p>
        </w:tc>
        <w:tc>
          <w:tcPr/>
          <w:p>
            <w:pPr>
              <w:pStyle w:val="CompactParagraph"/>
            </w:pPr>
            <w:r>
              <w:t xml:space="preserve">SAGE</w:t>
            </w:r>
          </w:p>
        </w:tc>
        <w:tc>
          <w:tcPr/>
          <w:p>
            <w:pPr>
              <w:pStyle w:val="CompactParagraph"/>
            </w:pPr>
            <w:r>
              <w:t xml:space="preserve">Allow-list the xPlaytest S2S identity (cross-tenant)</w:t>
            </w:r>
          </w:p>
        </w:tc>
        <w:tc>
          <w:tcPr/>
          <w:p>
            <w:pPr>
              <w:pStyle w:val="CompactParagraph"/>
            </w:pPr>
            <w:r>
              <w:t xml:space="preserve">1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XC3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services.contentingestion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PlaytestTitleIngestionWorkflow</w:t>
            </w:r>
            <w:r>
              <w:t xml:space="preserve">, contract types, controller routes</w:t>
            </w:r>
          </w:p>
        </w:tc>
        <w:tc>
          <w:tcPr/>
          <w:p>
            <w:pPr>
              <w:pStyle w:val="CompactParagraph"/>
            </w:pPr>
            <w:r>
              <w:t xml:space="preserve">9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XC4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services.partnerregistry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AllowedDnaGroups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AllowedSandboxId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OfferingV2</w:t>
            </w:r>
            <w:r>
              <w:t xml:space="preserve">; bulk-edit for offering + title in one PR</w:t>
            </w:r>
          </w:p>
        </w:tc>
        <w:tc>
          <w:tcPr/>
          <w:p>
            <w:pPr>
              <w:pStyle w:val="CompactParagraph"/>
            </w:pPr>
            <w:r>
              <w:t xml:space="preserve">5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XC5</w:t>
            </w:r>
          </w:p>
        </w:tc>
        <w:tc>
          <w:tcPr/>
          <w:p>
            <w:pPr>
              <w:pStyle w:val="CompactParagraph"/>
            </w:pPr>
            <w:r>
              <w:t xml:space="preserve">User-login / offering auth</w:t>
            </w:r>
          </w:p>
        </w:tc>
        <w:tc>
          <w:tcPr/>
          <w:p>
            <w:pPr>
              <w:pStyle w:val="CompactParagraph"/>
            </w:pPr>
            <w:r>
              <w:rPr>
                <w:rStyle w:val="VerbatimChar"/>
              </w:rPr>
              <w:t xml:space="preserve">GsToken.DnaGroups</w:t>
            </w:r>
            <w:r>
              <w:t xml:space="preserve"> </w:t>
            </w:r>
            <w:r>
              <w:t xml:space="preserve">check at offering entry; skip per-title entitlement for playtest titles</w:t>
            </w:r>
          </w:p>
        </w:tc>
        <w:tc>
          <w:tcPr/>
          <w:p>
            <w:pPr>
              <w:pStyle w:val="CompactParagraph"/>
            </w:pPr>
            <w:r>
              <w:t xml:space="preserve">5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XC6</w:t>
            </w:r>
          </w:p>
        </w:tc>
        <w:tc>
          <w:tcPr/>
          <w:p>
            <w:pPr>
              <w:pStyle w:val="CompactParagraph"/>
            </w:pPr>
            <w:r>
              <w:t xml:space="preserve">Install pipeline</w:t>
            </w:r>
          </w:p>
        </w:tc>
        <w:tc>
          <w:tcPr/>
          <w:p>
            <w:pPr>
              <w:pStyle w:val="CompactParagraph"/>
            </w:pPr>
            <w:r>
              <w:t xml:space="preserve">Pick lex-smallest flight id; branch</w:t>
            </w:r>
            <w:r>
              <w:t xml:space="preserve"> </w:t>
            </w:r>
            <w:r>
              <w:rPr>
                <w:rStyle w:val="VerbatimChar"/>
              </w:rPr>
              <w:t xml:space="preserve">ServerFilter</w:t>
            </w:r>
            <w:r>
              <w:t xml:space="preserve"> </w:t>
            </w:r>
            <w:r>
              <w:t xml:space="preserve">so PC playtests skip the Xbox-only allocator parameters</w:t>
            </w:r>
          </w:p>
        </w:tc>
        <w:tc>
          <w:tcPr/>
          <w:p>
            <w:pPr>
              <w:pStyle w:val="CompactParagraph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/>
          <w:bCs/>
        </w:rPr>
        <w:t xml:space="preserve">Execution order (2 devs in parallel):</w:t>
      </w:r>
    </w:p>
    <w:p>
      <w:pPr>
        <w:pStyle w:val="SourceCode"/>
      </w:pPr>
      <w:r>
        <w:rPr>
          <w:rStyle w:val="VerbatimChar"/>
        </w:rPr>
        <w:t xml:space="preserve">Phase A (wk 1–2)   XC4, XC5, XC2, PT3       → no inter-dependencies</w:t>
      </w:r>
      <w:r>
        <w:br/>
      </w:r>
      <w:r>
        <w:rPr>
          <w:rStyle w:val="VerbatimChar"/>
        </w:rPr>
        <w:t xml:space="preserve">Phase B (wk 2–4)   XC1, XC3, XC6, PT2       → A must land first</w:t>
      </w:r>
      <w:r>
        <w:br/>
      </w:r>
      <w:r>
        <w:rPr>
          <w:rStyle w:val="VerbatimChar"/>
        </w:rPr>
        <w:t xml:space="preserve">Phase C (wk 4–6)   PT1, PT4, PT5            → B must land first</w:t>
      </w:r>
      <w:r>
        <w:br/>
      </w:r>
      <w:r>
        <w:rPr>
          <w:rStyle w:val="VerbatimChar"/>
        </w:rPr>
        <w:t xml:space="preserve">Phase D (wk 6–7)   PT6                      → C must land first</w:t>
      </w:r>
      <w:r>
        <w:br/>
      </w:r>
      <w:r>
        <w:rPr>
          <w:rStyle w:val="VerbatimChar"/>
        </w:rPr>
        <w:t xml:space="preserve">Soak  (wk 7–10)    end-to-end stabilization, OpenAPI publish, runbooks</w:t>
      </w:r>
    </w:p>
    <w:bookmarkEnd w:id="17"/>
    <w:bookmarkEnd w:id="18"/>
    <w:bookmarkStart w:id="19" w:name="contracts"/>
    <w:p>
      <w:pPr>
        <w:pStyle w:val="Heading2"/>
      </w:pPr>
      <w:r>
        <w:t xml:space="preserve">5. Contracts</w:t>
      </w:r>
    </w:p>
    <w:p>
      <w:pPr>
        <w:pStyle w:val="FirstParagraph"/>
      </w:pPr>
      <w:r>
        <w:t xml:space="preserve">The external REST contract lives in</w:t>
      </w:r>
      <w:r>
        <w:t xml:space="preserve"> </w:t>
      </w:r>
      <w:hyperlink r:id="rId11">
        <w:r>
          <w:rPr>
            <w:rStyle w:val="VerbatimChar"/>
          </w:rPr>
          <w:t xml:space="preserve">openapi/playtest-ingestion.yaml</w:t>
        </w:r>
      </w:hyperlink>
      <w:r>
        <w:t xml:space="preserve">. Internal contract types and code references live in</w:t>
      </w:r>
      <w:r>
        <w:t xml:space="preserve"> </w:t>
      </w:r>
      <w:hyperlink r:id="rId10">
        <w:r>
          <w:rPr>
            <w:rStyle w:val="VerbatimChar"/>
          </w:rPr>
          <w:t xml:space="preserve">ARCHITECTURE.md</w:t>
        </w:r>
      </w:hyperlink>
      <w:r>
        <w:t xml:space="preserve">. Full rationale, alternatives, and code citations live in</w:t>
      </w:r>
      <w:r>
        <w:t xml:space="preserve"> </w:t>
      </w:r>
      <w:hyperlink r:id="rId9">
        <w:r>
          <w:rPr>
            <w:rStyle w:val="VerbatimChar"/>
          </w:rPr>
          <w:t xml:space="preserve">SPEC.md</w:t>
        </w:r>
      </w:hyperlink>
      <w:r>
        <w:t xml:space="preserve">.</w:t>
      </w:r>
    </w:p>
    <w:p>
      <w:pPr>
        <w:pStyle w:val="BodyText"/>
      </w:pPr>
      <w:r>
        <w:t xml:space="preserve">The central payload is</w:t>
      </w:r>
      <w:r>
        <w:t xml:space="preserve"> </w:t>
      </w:r>
      <w:r>
        <w:rPr>
          <w:rStyle w:val="VerbatimChar"/>
        </w:rPr>
        <w:t xml:space="preserve">PlaytestIngestionJobParameters</w:t>
      </w:r>
      <w:r>
        <w:t xml:space="preserve">. Required fields are</w:t>
      </w:r>
      <w:r>
        <w:t xml:space="preserve"> </w:t>
      </w:r>
      <w:r>
        <w:rPr>
          <w:rStyle w:val="VerbatimChar"/>
        </w:rPr>
        <w:t xml:space="preserve">PlaytestId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AllowedDnaGroups</w:t>
      </w:r>
      <w:r>
        <w:t xml:space="preserve"> </w:t>
      </w:r>
      <w:r>
        <w:t xml:space="preserve">(min 1),</w:t>
      </w:r>
      <w:r>
        <w:t xml:space="preserve"> </w:t>
      </w:r>
      <w:r>
        <w:rPr>
          <w:rStyle w:val="VerbatimChar"/>
        </w:rPr>
        <w:t xml:space="preserve">ExpirationTime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StoreAsset</w:t>
      </w:r>
      <w:r>
        <w:t xml:space="preserve">.</w:t>
      </w:r>
      <w:r>
        <w:t xml:space="preserve"> </w:t>
      </w:r>
      <w:r>
        <w:rPr>
          <w:rStyle w:val="VerbatimChar"/>
        </w:rPr>
        <w:t xml:space="preserve">AllowedSandboxId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IsGreenSigned</w:t>
      </w:r>
      <w:r>
        <w:t xml:space="preserve"> </w:t>
      </w:r>
      <w:r>
        <w:t xml:space="preserve">are optional and default server-side to</w:t>
      </w:r>
      <w:r>
        <w:t xml:space="preserve"> </w:t>
      </w:r>
      <w:r>
        <w:rPr>
          <w:rStyle w:val="VerbatimChar"/>
        </w:rPr>
        <w:t xml:space="preserve">RETAIL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rPr>
          <w:rStyle w:val="VerbatimChar"/>
        </w:rPr>
        <w:t xml:space="preserve">CallbackUrl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CorrelationId</w:t>
      </w:r>
      <w:r>
        <w:t xml:space="preserve"> </w:t>
      </w:r>
      <w:r>
        <w:t xml:space="preserve">are reserved for future use.</w:t>
      </w:r>
    </w:p>
    <w:bookmarkEnd w:id="19"/>
    <w:bookmarkStart w:id="20" w:name="milestones"/>
    <w:p>
      <w:pPr>
        <w:pStyle w:val="Heading2"/>
      </w:pPr>
      <w:r>
        <w:t xml:space="preserve">6.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Paragraph"/>
            </w:pPr>
            <w:r>
              <w:t xml:space="preserve">#</w:t>
            </w:r>
          </w:p>
        </w:tc>
        <w:tc>
          <w:tcPr/>
          <w:p>
            <w:pPr>
              <w:pStyle w:val="CompactParagraph"/>
            </w:pPr>
            <w:r>
              <w:t xml:space="preserve">Milestone</w:t>
            </w:r>
          </w:p>
        </w:tc>
        <w:tc>
          <w:tcPr/>
          <w:p>
            <w:pPr>
              <w:pStyle w:val="CompactParagraph"/>
            </w:pPr>
            <w:r>
              <w:t xml:space="preserve">Target</w:t>
            </w:r>
          </w:p>
        </w:tc>
        <w:tc>
          <w:tcPr/>
          <w:p>
            <w:pPr>
              <w:pStyle w:val="CompactParagraph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Foundational demo</w:t>
            </w:r>
            <w:r>
              <w:t xml:space="preserve"> </w:t>
            </w:r>
            <w:r>
              <w:t xml:space="preserve">— manual offering with a fixed DNA group; Partner Center group membership changes flip tester access live</w:t>
            </w:r>
          </w:p>
        </w:tc>
        <w:tc>
          <w:tcPr/>
          <w:p>
            <w:pPr>
              <w:pStyle w:val="CompactParagraph"/>
            </w:pPr>
            <w:r>
              <w:t xml:space="preserve">end of wk 2 (≤ 6/20)</w:t>
            </w:r>
          </w:p>
        </w:tc>
        <w:tc>
          <w:tcPr/>
          <w:p>
            <w:pPr>
              <w:pStyle w:val="CompactParagraph"/>
            </w:pPr>
            <w:r>
              <w:t xml:space="preserve">XC4 + XC5 shipped; operator script provable end-to-end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Ingestion</w:t>
            </w:r>
            <w:r>
              <w:t xml:space="preserve"> </w:t>
            </w:r>
            <w:r>
              <w:t xml:space="preserve">— manual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against SAGE drives the full ingestion to a streamable offering</w:t>
            </w:r>
          </w:p>
        </w:tc>
        <w:tc>
          <w:tcPr/>
          <w:p>
            <w:pPr>
              <w:pStyle w:val="CompactParagraph"/>
            </w:pPr>
            <w:r>
              <w:t xml:space="preserve">end of wk 4 (≤ 6/30,</w:t>
            </w:r>
            <w:r>
              <w:t xml:space="preserve"> </w:t>
            </w:r>
            <w:r>
              <w:rPr>
                <w:b/>
                <w:bCs/>
              </w:rPr>
              <w:t xml:space="preserve">Midpoint Connect</w:t>
            </w:r>
            <w:r>
              <w:t xml:space="preserve">)</w:t>
            </w:r>
          </w:p>
        </w:tc>
        <w:tc>
          <w:tcPr/>
          <w:p>
            <w:pPr>
              <w:pStyle w:val="CompactParagraph"/>
            </w:pPr>
            <w:r>
              <w:t xml:space="preserve">XC1, XC2, XC3, XC6, PT2 shipped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xPlaytest integration</w:t>
            </w:r>
            <w:r>
              <w:t xml:space="preserve"> </w:t>
            </w:r>
            <w:r>
              <w:t xml:space="preserve">— Publish in Partner Center end-to-end produces a launch URL</w:t>
            </w:r>
          </w:p>
        </w:tc>
        <w:tc>
          <w:tcPr/>
          <w:p>
            <w:pPr>
              <w:pStyle w:val="CompactParagraph"/>
            </w:pPr>
            <w:r>
              <w:t xml:space="preserve">end of wk 6 (≤ 7/14)</w:t>
            </w:r>
          </w:p>
        </w:tc>
        <w:tc>
          <w:tcPr/>
          <w:p>
            <w:pPr>
              <w:pStyle w:val="CompactParagraph"/>
            </w:pPr>
            <w:r>
              <w:t xml:space="preserve">PT1, PT4, PT5 shipped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Lifecycle</w:t>
            </w:r>
            <w:r>
              <w:t xml:space="preserve"> </w:t>
            </w:r>
            <w:r>
              <w:t xml:space="preserve">— audience / expiry / republish / delete reflect in xCloud</w:t>
            </w:r>
          </w:p>
        </w:tc>
        <w:tc>
          <w:tcPr/>
          <w:p>
            <w:pPr>
              <w:pStyle w:val="CompactParagraph"/>
            </w:pPr>
            <w:r>
              <w:t xml:space="preserve">end of wk 7 (≤ 7/21)</w:t>
            </w:r>
          </w:p>
        </w:tc>
        <w:tc>
          <w:tcPr/>
          <w:p>
            <w:pPr>
              <w:pStyle w:val="CompactParagraph"/>
            </w:pPr>
            <w:r>
              <w:t xml:space="preserve">PT6 shipped</w:t>
            </w:r>
          </w:p>
        </w:tc>
      </w:tr>
      <w:tr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Soak + handoff</w:t>
            </w:r>
            <w:r>
              <w:t xml:space="preserve"> </w:t>
            </w:r>
            <w:r>
              <w:t xml:space="preserve">— real studio build; OpenAPI + runbooks published</w:t>
            </w:r>
          </w:p>
        </w:tc>
        <w:tc>
          <w:tcPr/>
          <w:p>
            <w:pPr>
              <w:pStyle w:val="CompactParagraph"/>
            </w:pPr>
            <w:r>
              <w:t xml:space="preserve">end of wk 10 (≤ 7/28,</w:t>
            </w:r>
            <w:r>
              <w:t xml:space="preserve"> </w:t>
            </w:r>
            <w:r>
              <w:rPr>
                <w:b/>
                <w:bCs/>
              </w:rPr>
              <w:t xml:space="preserve">Final Connect</w:t>
            </w:r>
            <w:r>
              <w:t xml:space="preserve">)</w:t>
            </w:r>
          </w:p>
        </w:tc>
        <w:tc>
          <w:tcPr/>
          <w:p>
            <w:pPr>
              <w:pStyle w:val="CompactParagraph"/>
            </w:pPr>
            <w:r>
              <w:t xml:space="preserve">End-to-end test passes; docs live</w:t>
            </w:r>
          </w:p>
        </w:tc>
      </w:tr>
      <w:tr>
        <w:tc>
          <w:tcPr/>
          <w:p>
            <w:pPr>
              <w:pStyle w:val="CompactParagraph"/>
            </w:pPr>
            <w:r>
              <w:t xml:space="preserve">—</w:t>
            </w:r>
          </w:p>
        </w:tc>
        <w:tc>
          <w:tcPr/>
          <w:p>
            <w:pPr>
              <w:pStyle w:val="CompactParagraph"/>
            </w:pPr>
            <w:r>
              <w:rPr>
                <w:b/>
                <w:bCs/>
              </w:rPr>
              <w:t xml:space="preserve">Presentation</w:t>
            </w:r>
          </w:p>
        </w:tc>
        <w:tc>
          <w:tcPr/>
          <w:p>
            <w:pPr>
              <w:pStyle w:val="CompactParagraph"/>
            </w:pPr>
            <w:r>
              <w:t xml:space="preserve">wk 11–12</w:t>
            </w:r>
          </w:p>
        </w:tc>
        <w:tc>
          <w:tcPr/>
          <w:p>
            <w:pPr>
              <w:pStyle w:val="CompactParagraph"/>
            </w:pPr>
            <w:r>
              <w:t xml:space="preserve">Intern presentation</w:t>
            </w:r>
          </w:p>
        </w:tc>
      </w:tr>
    </w:tbl>
    <w:bookmarkEnd w:id="20"/>
    <w:bookmarkStart w:id="21" w:name="success-criteria-p0"/>
    <w:p>
      <w:pPr>
        <w:pStyle w:val="Heading2"/>
      </w:pPr>
      <w:r>
        <w:t xml:space="preserve">7. Success criteria (P0)</w:t>
      </w:r>
    </w:p>
    <w:p>
      <w:pPr>
        <w:pStyle w:val="FirstParagraph"/>
      </w:pPr>
      <w:r>
        <w:t xml:space="preserve">A v1 release passes 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hold:</w:t>
      </w:r>
    </w:p>
    <w:p>
      <w:pPr>
        <w:pStyle w:val="CompactParagraph"/>
        <w:numPr>
          <w:ilvl w:val="0"/>
          <w:numId w:val="1002"/>
        </w:numPr>
      </w:pPr>
      <w:r>
        <w:t xml:space="preserve">Publishing a streaming-enabled playtest submits the xCloud ingestion within seconds and becomes live within one approver round-trip.</w:t>
      </w:r>
    </w:p>
    <w:p>
      <w:pPr>
        <w:pStyle w:val="CompactParagraph"/>
        <w:numPr>
          <w:ilvl w:val="0"/>
          <w:numId w:val="1002"/>
        </w:numPr>
      </w:pPr>
      <w:r>
        <w:t xml:space="preserve">The offering exists in Partner Registry with the audience’s DNA groups and a non-null expiration.</w:t>
      </w:r>
    </w:p>
    <w:p>
      <w:pPr>
        <w:pStyle w:val="CompactParagraph"/>
        <w:numPr>
          <w:ilvl w:val="0"/>
          <w:numId w:val="1002"/>
        </w:numPr>
      </w:pPr>
      <w:r>
        <w:t xml:space="preserve">The offering contains exactly one title corresponding to the playtest.</w:t>
      </w:r>
    </w:p>
    <w:p>
      <w:pPr>
        <w:pStyle w:val="CompactParagraph"/>
        <w:numPr>
          <w:ilvl w:val="0"/>
          <w:numId w:val="1002"/>
        </w:numPr>
      </w:pPr>
      <w:r>
        <w:t xml:space="preserve">An authorized tester can stream the playtest through xCloud via the launch URL.</w:t>
      </w:r>
    </w:p>
    <w:p>
      <w:pPr>
        <w:pStyle w:val="CompactParagraph"/>
        <w:numPr>
          <w:ilvl w:val="0"/>
          <w:numId w:val="1002"/>
        </w:numPr>
      </w:pPr>
      <w:r>
        <w:t xml:space="preserve">An unauthorized user opening the launch URL is denied with no metadata leakage.</w:t>
      </w:r>
    </w:p>
    <w:p>
      <w:pPr>
        <w:pStyle w:val="CompactParagraph"/>
        <w:numPr>
          <w:ilvl w:val="0"/>
          <w:numId w:val="1002"/>
        </w:numPr>
      </w:pPr>
      <w:r>
        <w:t xml:space="preserve">Audience, expiration, and build-republish changes after publish all re-propagate to xCloud.</w:t>
      </w:r>
    </w:p>
    <w:p>
      <w:pPr>
        <w:pStyle w:val="CompactParagraph"/>
        <w:numPr>
          <w:ilvl w:val="0"/>
          <w:numId w:val="1002"/>
        </w:numPr>
      </w:pPr>
      <w:r>
        <w:t xml:space="preserve">Deleting the playtest removes tester access within the GsToken refresh window and removes the offering from DevApi.</w:t>
      </w:r>
    </w:p>
    <w:p>
      <w:pPr>
        <w:pStyle w:val="CompactParagraph"/>
        <w:numPr>
          <w:ilvl w:val="0"/>
          <w:numId w:val="1002"/>
        </w:numPr>
      </w:pPr>
      <w:r>
        <w:t xml:space="preserve">Streaming-enabled publish is gated behind a seller / title allow-list feature flag during private preview.</w:t>
      </w:r>
    </w:p>
    <w:p>
      <w:pPr>
        <w:pStyle w:val="CompactParagraph"/>
        <w:numPr>
          <w:ilvl w:val="0"/>
          <w:numId w:val="1002"/>
        </w:numPr>
      </w:pPr>
      <w:r>
        <w:t xml:space="preserve">xCloud ingestion failure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 the download playtest from publishing.</w:t>
      </w:r>
    </w:p>
    <w:p>
      <w:pPr>
        <w:pStyle w:val="FirstParagraph"/>
      </w:pPr>
      <w:r>
        <w:rPr>
          <w:b/>
          <w:bCs/>
        </w:rPr>
        <w:t xml:space="preserve">P1 (deferred):</w:t>
      </w:r>
      <w:r>
        <w:t xml:space="preserve"> </w:t>
      </w:r>
      <w:r>
        <w:t xml:space="preserve">Bayside login flow on the launch URL; GSSV</w:t>
      </w:r>
      <w:r>
        <w:t xml:space="preserve"> </w:t>
      </w:r>
      <w:r>
        <w:rPr>
          <w:rStyle w:val="VerbatimChar"/>
        </w:rPr>
        <w:t xml:space="preserve">/offerings</w:t>
      </w:r>
      <w:r>
        <w:t xml:space="preserve"> </w:t>
      </w:r>
      <w:r>
        <w:t xml:space="preserve">returns the user’s accessible playtest offerings for in-client discovery.</w:t>
      </w:r>
      <w:r>
        <w:t xml:space="preserve"> </w:t>
      </w:r>
      <w:r>
        <w:rPr>
          <w:b/>
          <w:bCs/>
        </w:rPr>
        <w:t xml:space="preserve">P3 (out of scope):</w:t>
      </w:r>
      <w:r>
        <w:t xml:space="preserve"> </w:t>
      </w:r>
      <w:r>
        <w:t xml:space="preserve">Xbox console support, region / touch-control configuration, in-stream feedback collection.</w:t>
      </w:r>
    </w:p>
    <w:bookmarkEnd w:id="21"/>
    <w:bookmarkStart w:id="22" w:name="known-risks-and-open-items"/>
    <w:p>
      <w:pPr>
        <w:pStyle w:val="Heading2"/>
      </w:pPr>
      <w:r>
        <w:t xml:space="preserve">8. Known risks and open items</w:t>
      </w:r>
    </w:p>
    <w:p>
      <w:pPr>
        <w:pStyle w:val="CompactParagraph"/>
        <w:numPr>
          <w:ilvl w:val="0"/>
          <w:numId w:val="1003"/>
        </w:numPr>
      </w:pPr>
      <w:r>
        <w:rPr>
          <w:b/>
          <w:bCs/>
        </w:rPr>
        <w:t xml:space="preserve">Cross-tenant S2S long-term (PME).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The GSS platform team owns the PME story. xPlaytest rides the short-term Green → Corp PR; the call site is marked for revisit.</w:t>
      </w:r>
    </w:p>
    <w:p>
      <w:pPr>
        <w:pStyle w:val="CompactParagraph"/>
        <w:numPr>
          <w:ilvl w:val="0"/>
          <w:numId w:val="1003"/>
        </w:numPr>
      </w:pPr>
      <w:r>
        <w:rPr>
          <w:b/>
          <w:bCs/>
        </w:rPr>
        <w:t xml:space="preserve">Manual PR approval on Partner Registry writes.</w:t>
      </w:r>
      <w:r>
        <w:t xml:space="preserve"> </w:t>
      </w:r>
      <w:r>
        <w:rPr>
          <w:i/>
          <w:iCs/>
        </w:rPr>
        <w:t xml:space="preserve">Mitigated.</w:t>
      </w:r>
      <w:r>
        <w:t xml:space="preserve"> </w:t>
      </w:r>
      <w:r>
        <w:t xml:space="preserve">One bundled PR per publish instead of two; xCloud reviewers approve out-of-band for the duration of the internship.</w:t>
      </w:r>
    </w:p>
    <w:p>
      <w:pPr>
        <w:pStyle w:val="CompactParagraph"/>
        <w:numPr>
          <w:ilvl w:val="0"/>
          <w:numId w:val="1003"/>
        </w:numPr>
      </w:pPr>
      <w:r>
        <w:rPr>
          <w:rStyle w:val="VerbatimChar"/>
          <w:b/>
          <w:bCs/>
        </w:rPr>
        <w:t xml:space="preserve">XboxTitleId</w:t>
      </w:r>
      <w:r>
        <w:rPr>
          <w:b/>
          <w:bCs/>
        </w:rPr>
        <w:t xml:space="preserve"> </w:t>
      </w:r>
      <w:r>
        <w:rPr>
          <w:b/>
          <w:bCs/>
        </w:rPr>
        <w:t xml:space="preserve">resolver.</w:t>
      </w:r>
      <w:r>
        <w:t xml:space="preserve"> </w:t>
      </w:r>
      <w:r>
        <w:rPr>
          <w:i/>
          <w:iCs/>
        </w:rPr>
        <w:t xml:space="preserve">Open — P0 inside PT2.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alternateIds[XboxTitleId]</w:t>
      </w:r>
      <w:r>
        <w:t xml:space="preserve"> </w:t>
      </w:r>
      <w:r>
        <w:t xml:space="preserve">from XProduct; replaces today’s empty hardcode.</w:t>
      </w:r>
    </w:p>
    <w:p>
      <w:pPr>
        <w:pStyle w:val="CompactParagraph"/>
        <w:numPr>
          <w:ilvl w:val="0"/>
          <w:numId w:val="1003"/>
        </w:numPr>
      </w:pPr>
      <w:r>
        <w:rPr>
          <w:rStyle w:val="VerbatimChar"/>
          <w:b/>
          <w:bCs/>
        </w:rPr>
        <w:t xml:space="preserve">AumID</w:t>
      </w:r>
      <w:r>
        <w:rPr>
          <w:b/>
          <w:bCs/>
        </w:rPr>
        <w:t xml:space="preserve"> </w:t>
      </w:r>
      <w:r>
        <w:rPr>
          <w:b/>
          <w:bCs/>
        </w:rPr>
        <w:t xml:space="preserve">for PC.</w:t>
      </w:r>
      <w:r>
        <w:t xml:space="preserve"> </w:t>
      </w:r>
      <w:r>
        <w:rPr>
          <w:i/>
          <w:iCs/>
        </w:rPr>
        <w:t xml:space="preserve">Decided.</w:t>
      </w:r>
      <w:r>
        <w:t xml:space="preserve"> </w:t>
      </w:r>
      <w:r>
        <w:t xml:space="preserve">Ship a constant default for v1 (telemetry-only on the server side); v1.1 plumbs the real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from the AppX manifest.</w:t>
      </w:r>
    </w:p>
    <w:p>
      <w:pPr>
        <w:pStyle w:val="CompactParagraph"/>
        <w:numPr>
          <w:ilvl w:val="0"/>
          <w:numId w:val="1003"/>
        </w:numPr>
      </w:pPr>
      <w:r>
        <w:rPr>
          <w:b/>
          <w:bCs/>
        </w:rPr>
        <w:t xml:space="preserve">PC install poll path.</w:t>
      </w:r>
      <w:r>
        <w:t xml:space="preserve"> </w:t>
      </w:r>
      <w:r>
        <w:rPr>
          <w:i/>
          <w:iCs/>
        </w:rPr>
        <w:t xml:space="preserve">Open — audit lives in XC6.</w:t>
      </w:r>
      <w:r>
        <w:t xml:space="preserve"> </w:t>
      </w:r>
      <w:r>
        <w:t xml:space="preserve">Today’s allocator parameters are Xbox-only. XC6 audits the path and branches</w:t>
      </w:r>
      <w:r>
        <w:t xml:space="preserve"> </w:t>
      </w:r>
      <w:r>
        <w:rPr>
          <w:rStyle w:val="VerbatimChar"/>
        </w:rPr>
        <w:t xml:space="preserve">ServerFilter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.</w:t>
      </w:r>
    </w:p>
    <w:p>
      <w:pPr>
        <w:pStyle w:val="CompactParagraph"/>
        <w:numPr>
          <w:ilvl w:val="0"/>
          <w:numId w:val="1003"/>
        </w:numPr>
      </w:pPr>
      <w:r>
        <w:rPr>
          <w:b/>
          <w:bCs/>
        </w:rPr>
        <w:t xml:space="preserve">Stable playtest identity for offering id.</w:t>
      </w:r>
      <w:r>
        <w:t xml:space="preserve"> </w:t>
      </w:r>
      <w:r>
        <w:rPr>
          <w:i/>
          <w:iCs/>
        </w:rPr>
        <w:t xml:space="preserve">Open.</w:t>
      </w:r>
      <w:r>
        <w:t xml:space="preserve"> </w:t>
      </w:r>
      <w:r>
        <w:t xml:space="preserve">xPlaytest confirms whether</w:t>
      </w:r>
      <w:r>
        <w:t xml:space="preserve"> </w:t>
      </w:r>
      <w:r>
        <w:rPr>
          <w:rStyle w:val="VerbatimChar"/>
        </w:rPr>
        <w:t xml:space="preserve">PartnerCenterProductId</w:t>
      </w:r>
      <w:r>
        <w:t xml:space="preserve"> </w:t>
      </w:r>
      <w:r>
        <w:t xml:space="preserve">is stable across republishes (the recommended option); otherwise we use the equivalent stable upstream id. This is the one open item that materially changes the offering-proliferation story on nightly republishes.</w:t>
      </w:r>
    </w:p>
    <w:p>
      <w:pPr>
        <w:pStyle w:val="CompactParagraph"/>
        <w:numPr>
          <w:ilvl w:val="0"/>
          <w:numId w:val="1003"/>
        </w:numPr>
      </w:pPr>
      <w:r>
        <w:rPr>
          <w:b/>
          <w:bCs/>
        </w:rPr>
        <w:t xml:space="preserve">Delete model (tombstone vs. hard delete).</w:t>
      </w:r>
      <w:r>
        <w:t xml:space="preserve"> </w:t>
      </w:r>
      <w:r>
        <w:rPr>
          <w:i/>
          <w:iCs/>
        </w:rPr>
        <w:t xml:space="preserve">Decision pending sign-off.</w:t>
      </w:r>
      <w:r>
        <w:t xml:space="preserve"> </w:t>
      </w:r>
      <w:r>
        <w:t xml:space="preserve">v1 ships tombstone + 7-day GC. User-visible behavior matches the P0 wording, but the deviation needs explicit xCloud sign-off.</w:t>
      </w:r>
    </w:p>
    <w:bookmarkEnd w:id="22"/>
    <w:bookmarkStart w:id="23" w:name="glossary"/>
    <w:p>
      <w:pPr>
        <w:pStyle w:val="Heading2"/>
      </w:pPr>
      <w:r>
        <w:t xml:space="preserve">Glossary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DNA group</w:t>
      </w:r>
      <w:r>
        <w:t xml:space="preserve"> </w:t>
      </w:r>
      <w:r>
        <w:t xml:space="preserve">— GMS audience grouping; resolves to the GUIDs in</w:t>
      </w:r>
      <w:r>
        <w:t xml:space="preserve"> </w:t>
      </w:r>
      <w:r>
        <w:rPr>
          <w:rStyle w:val="VerbatimChar"/>
        </w:rPr>
        <w:t xml:space="preserve">AllowedDnaGroups</w:t>
      </w:r>
      <w:r>
        <w:t xml:space="preserve">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GMS</w:t>
      </w:r>
      <w:r>
        <w:t xml:space="preserve"> </w:t>
      </w:r>
      <w:r>
        <w:t xml:space="preserve">— Group Management Service.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GsToken</w:t>
      </w:r>
      <w:r>
        <w:t xml:space="preserve"> </w:t>
      </w:r>
      <w:r>
        <w:t xml:space="preserve">— Game Streaming token; carries</w:t>
      </w:r>
      <w:r>
        <w:t xml:space="preserve"> </w:t>
      </w:r>
      <w:r>
        <w:rPr>
          <w:rStyle w:val="VerbatimChar"/>
        </w:rPr>
        <w:t xml:space="preserve">DnaGroups</w:t>
      </w:r>
      <w:r>
        <w:t xml:space="preserve"> </w:t>
      </w:r>
      <w:r>
        <w:t xml:space="preserve">claims.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SAGE</w:t>
      </w:r>
      <w:r>
        <w:t xml:space="preserve"> </w:t>
      </w:r>
      <w:r>
        <w:t xml:space="preserve">— Service API Gateway; cross-tenant ingress proxy for xCloud.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SUCU</w:t>
      </w:r>
      <w:r>
        <w:t xml:space="preserve"> </w:t>
      </w:r>
      <w:r>
        <w:t xml:space="preserve">— Streaming Update Catalog; xCloud’s package-version resolution.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SFI</w:t>
      </w:r>
      <w:r>
        <w:t xml:space="preserve"> </w:t>
      </w:r>
      <w:r>
        <w:t xml:space="preserve">— Secure Future Initiative; the policy regime that forbids self-approving PRs.</w:t>
      </w:r>
    </w:p>
    <w:p>
      <w:pPr>
        <w:pStyle w:val="CompactParagraph"/>
        <w:numPr>
          <w:ilvl w:val="0"/>
          <w:numId w:val="1004"/>
        </w:numPr>
      </w:pPr>
      <w:r>
        <w:rPr>
          <w:b/>
          <w:bCs/>
        </w:rPr>
        <w:t xml:space="preserve">xpt-{id}</w:t>
      </w:r>
      <w:r>
        <w:t xml:space="preserve"> </w:t>
      </w:r>
      <w:r>
        <w:t xml:space="preserve">— Offering id prefix for playtest-derived offerings.</w:t>
      </w:r>
    </w:p>
    <w:bookmarkEnd w:id="23"/>
    <w:bookmarkEnd w:id="24"/>
    <w:sectPr>
      <w:headerReference r:id="rIdHdr1" w:type="default"/>
      <w:footerReference r:id="rIdFtr1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</w:pPr>
    <w:r>
      <w:t xml:space="preserve">Melanie Chen · 2026</w:t>
    </w:r>
    <w: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>Instantly Shareable Playtest</w:t>
    </w:r>
    <w:r>
      <w:tab/>
    </w:r>
    <w:r>
      <w:t>Confidential · Microsoft Gaming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egoe UI" w:cs="Segoe UI" w:hAnsi="Segoe UI"/>
        <w:sz w:val="22"/>
        <w:szCs w:val="22"/>
        <w:lang w:val="en-US"/>
      </w:rPr>
    </w:rPrDefault>
    <w:pPrDefault>
      <w:pPr>
        <w:spacing w:after="120" w:line="288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240" w:before="3600"/>
      <w:jc w:val="center"/>
      <w:contextualSpacing/>
    </w:pPr>
    <w:rPr>
      <w:rFonts w:ascii="Segoe UI Light" w:hAnsi="Segoe UI Light"/>
      <w:color w:val="0F6CBD"/>
      <w:sz w:val="64"/>
    </w:rPr>
  </w:style>
  <w:style w:styleId="Subtitle" w:type="paragraph">
    <w:name w:val="Subtitle"/>
    <w:basedOn w:val="Normal"/>
    <w:next w:val="Normal"/>
    <w:qFormat/>
    <w:pPr>
      <w:spacing w:after="480" w:before="0"/>
      <w:jc w:val="center"/>
      <w:pBdr>
        <w:bottom w:color="0F6CBD" w:space="8" w:sz="12" w:val="single"/>
      </w:pBdr>
    </w:pPr>
    <w:rPr>
      <w:rFonts w:ascii="Segoe UI" w:hAnsi="Segoe UI"/>
      <w:color w:val="595959"/>
      <w:sz w:val="28"/>
      <w:i/>
    </w:rPr>
  </w:style>
  <w:style w:styleId="Author" w:type="paragraph">
    <w:name w:val="Author"/>
    <w:basedOn w:val="Normal"/>
    <w:next w:val="Normal"/>
    <w:qFormat/>
    <w:pPr>
      <w:spacing w:after="0" w:before="120"/>
      <w:jc w:val="center"/>
    </w:pPr>
    <w:rPr>
      <w:rFonts w:ascii="Segoe UI Semibold" w:hAnsi="Segoe UI Semibold"/>
      <w:color w:val="404040"/>
      <w:sz w:val="24"/>
    </w:rPr>
  </w:style>
  <w:style w:styleId="Date" w:type="paragraph">
    <w:name w:val="Date"/>
    <w:basedOn w:val="Normal"/>
    <w:next w:val="Normal"/>
    <w:qFormat/>
    <w:pPr>
      <w:spacing w:after="0" w:before="40"/>
      <w:jc w:val="center"/>
    </w:pPr>
    <w:rPr>
      <w:rFonts w:ascii="Segoe UI" w:hAnsi="Segoe UI"/>
      <w:color w:val="808080"/>
      <w:sz w:val="20"/>
    </w:rPr>
  </w:style>
  <w:style w:styleId="BodyText" w:type="paragraph">
    <w:name w:val="Body Text"/>
    <w:basedOn w:val="Normal"/>
    <w:qFormat/>
    <w:pPr>
      <w:spacing w:after="120" w:before="0" w:line="288" w:lineRule="auto"/>
    </w:pPr>
  </w:style>
  <w:style w:styleId="FirstParagraph" w:type="paragraph">
    <w:name w:val="First Paragraph"/>
    <w:basedOn w:val="BodyText"/>
    <w:qFormat/>
  </w:style>
  <w:style w:styleId="Heading1" w:type="paragraph">
    <w:name w:val="heading 1"/>
    <w:basedOn w:val="Normal"/>
    <w:next w:val="Normal"/>
    <w:qFormat/>
    <w:pPr>
      <w:keepNext/>
      <w:keepLines/>
      <w:spacing w:after="120" w:before="480"/>
      <w:outlineLvl w:val="0"/>
      <w:pBdr>
        <w:bottom w:color="0F6CBD" w:space="4" w:sz="6" w:val="single"/>
      </w:pBdr>
    </w:pPr>
    <w:rPr>
      <w:rFonts w:ascii="Segoe UI Semibold" w:hAnsi="Segoe UI Semibold"/>
      <w:color w:val="0F6CBD"/>
      <w:sz w:val="36"/>
    </w:rPr>
  </w:style>
  <w:style w:styleId="Heading2" w:type="paragraph">
    <w:name w:val="heading 2"/>
    <w:basedOn w:val="Normal"/>
    <w:next w:val="Normal"/>
    <w:qFormat/>
    <w:pPr>
      <w:keepNext/>
      <w:keepLines/>
      <w:spacing w:after="80" w:before="320"/>
      <w:outlineLvl w:val="1"/>
    </w:pPr>
    <w:rPr>
      <w:rFonts w:ascii="Segoe UI Semibold" w:hAnsi="Segoe UI Semibold"/>
      <w:color w:val="2B579A"/>
      <w:sz w:val="28"/>
    </w:rPr>
  </w:style>
  <w:style w:styleId="Heading3" w:type="paragraph">
    <w:name w:val="heading 3"/>
    <w:basedOn w:val="Normal"/>
    <w:next w:val="Normal"/>
    <w:qFormat/>
    <w:pPr>
      <w:keepNext/>
      <w:keepLines/>
      <w:spacing w:after="60" w:before="240"/>
      <w:outlineLvl w:val="2"/>
    </w:pPr>
    <w:rPr>
      <w:rFonts w:ascii="Segoe UI Semibold" w:hAnsi="Segoe UI Semibold"/>
      <w:color w:val="2B579A"/>
      <w:sz w:val="24"/>
    </w:rPr>
  </w:style>
  <w:style w:styleId="Heading4" w:type="paragraph">
    <w:name w:val="heading 4"/>
    <w:basedOn w:val="Normal"/>
    <w:next w:val="Normal"/>
    <w:qFormat/>
    <w:pPr>
      <w:keepNext/>
      <w:keepLines/>
      <w:spacing w:after="60" w:before="200"/>
      <w:outlineLvl w:val="3"/>
    </w:pPr>
    <w:rPr>
      <w:rFonts w:ascii="Segoe UI Semibold" w:hAnsi="Segoe UI Semibold"/>
      <w:color w:val="404040"/>
      <w:sz w:val="22"/>
    </w:rPr>
  </w:style>
  <w:style w:styleId="Heading5" w:type="paragraph">
    <w:name w:val="heading 5"/>
    <w:basedOn w:val="Normal"/>
    <w:next w:val="Normal"/>
    <w:qFormat/>
    <w:pPr>
      <w:keepNext/>
      <w:keepLines/>
      <w:spacing w:after="40" w:before="160"/>
      <w:outlineLvl w:val="4"/>
    </w:pPr>
    <w:rPr>
      <w:rFonts w:ascii="Segoe UI Semibold" w:hAnsi="Segoe UI Semibold"/>
      <w:color w:val="404040"/>
      <w:sz w:val="20"/>
    </w:rPr>
  </w:style>
  <w:style w:styleId="Heading6" w:type="paragraph">
    <w:name w:val="heading 6"/>
    <w:basedOn w:val="Normal"/>
    <w:next w:val="Normal"/>
    <w:qFormat/>
    <w:pPr>
      <w:keepNext/>
      <w:keepLines/>
      <w:spacing w:after="40" w:before="120"/>
      <w:outlineLvl w:val="5"/>
    </w:pPr>
    <w:rPr>
      <w:rFonts w:ascii="Segoe UI Semibold" w:hAnsi="Segoe UI Semibold"/>
      <w:i/>
      <w:color w:val="595959"/>
      <w:sz w:val="20"/>
    </w:rPr>
  </w:style>
  <w:style w:styleId="BlockText" w:type="paragraph">
    <w:name w:val="Block Text"/>
    <w:basedOn w:val="Normal"/>
    <w:qFormat/>
    <w:pPr>
      <w:spacing w:after="160" w:before="160"/>
      <w:ind w:left="360"/>
      <w:pBdr>
        <w:left w:color="0F6CBD" w:space="8" w:sz="24" w:val="single"/>
      </w:pBdr>
      <w:shd w:color="auto" w:fill="EAF3FB" w:val="clear"/>
    </w:pPr>
    <w:rPr>
      <w:i/>
      <w:color w:val="2B579A"/>
    </w:rPr>
  </w:style>
  <w:style w:styleId="SourceCode" w:type="paragraph">
    <w:name w:val="Source Code"/>
    <w:basedOn w:val="Normal"/>
    <w:qFormat/>
    <w:pPr>
      <w:spacing w:after="0" w:before="0" w:line="240" w:lineRule="auto"/>
      <w:shd w:color="auto" w:fill="F5F5F5" w:val="clear"/>
      <w:ind w:left="120" w:right="120"/>
    </w:pPr>
    <w:rPr>
      <w:rFonts w:ascii="Cascadia Mono" w:cs="Cascadia Mono" w:hAnsi="Cascadia Mono"/>
      <w:sz w:val="18"/>
    </w:rPr>
  </w:style>
  <w:style w:styleId="VerbatimChar" w:type="character">
    <w:name w:val="Verbatim Char"/>
    <w:qFormat/>
    <w:rPr>
      <w:rFonts w:ascii="Cascadia Mono" w:cs="Cascadia Mono" w:hAnsi="Cascadia Mono"/>
      <w:sz w:val="18"/>
      <w:shd w:color="auto" w:fill="F5F5F5" w:val="clear"/>
    </w:rPr>
  </w:style>
  <w:style w:styleId="Caption" w:type="paragraph">
    <w:name w:val="caption"/>
    <w:basedOn w:val="Normal"/>
    <w:next w:val="Normal"/>
    <w:qFormat/>
    <w:pPr>
      <w:spacing w:after="160" w:before="40"/>
    </w:pPr>
    <w:rPr>
      <w:i/>
      <w:color w:val="595959"/>
      <w:sz w:val="18"/>
    </w:rPr>
  </w:style>
  <w:style w:styleId="TOC1" w:type="paragraph">
    <w:name w:val="toc 1"/>
    <w:basedOn w:val="Normal"/>
    <w:next w:val="Normal"/>
    <w:pPr>
      <w:tabs>
        <w:tab w:leader="dot" w:pos="9000" w:val="right"/>
      </w:tabs>
      <w:spacing w:after="80" w:before="80"/>
    </w:pPr>
    <w:rPr>
      <w:b/>
      <w:color w:val="2B579A"/>
    </w:rPr>
  </w:style>
  <w:style w:styleId="TOC2" w:type="paragraph">
    <w:name w:val="toc 2"/>
    <w:basedOn w:val="Normal"/>
    <w:next w:val="Normal"/>
    <w:pPr>
      <w:tabs>
        <w:tab w:leader="dot" w:pos="9000" w:val="right"/>
      </w:tabs>
      <w:spacing w:after="20" w:before="20"/>
      <w:ind w:left="240"/>
    </w:pPr>
  </w:style>
  <w:style w:styleId="TOCHeading" w:type="paragraph">
    <w:name w:val="TOC Heading"/>
    <w:basedOn w:val="Heading1"/>
    <w:next w:val="Normal"/>
    <w:qFormat/>
  </w:style>
  <w:style w:styleId="Header" w:type="paragraph">
    <w:name w:val="header"/>
    <w:basedOn w:val="Normal"/>
    <w:pPr>
      <w:tabs>
        <w:tab w:pos="4680" w:val="center"/>
        <w:tab w:pos="9360" w:val="right"/>
      </w:tabs>
      <w:spacing w:after="0"/>
    </w:pPr>
    <w:rPr>
      <w:color w:val="808080"/>
      <w:sz w:val="18"/>
    </w:rPr>
  </w:style>
  <w:style w:styleId="Footer" w:type="paragraph">
    <w:name w:val="footer"/>
    <w:basedOn w:val="Normal"/>
    <w:pPr>
      <w:tabs>
        <w:tab w:pos="4680" w:val="center"/>
        <w:tab w:pos="9360" w:val="right"/>
      </w:tabs>
      <w:spacing w:after="0"/>
    </w:pPr>
    <w:rPr>
      <w:color w:val="808080"/>
      <w:sz w:val="18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E7E6E6" w:space="0" w:sz="4" w:val="single"/>
        <w:insideV w:color="E7E6E6" w:space="0" w:sz="4" w:val="single"/>
      </w:tblBorders>
      <w:tblCellMar>
        <w:top w:type="dxa" w:w="100"/>
        <w:left w:type="dxa" w:w="140"/>
        <w:bottom w:type="dxa" w:w="100"/>
        <w:right w:type="dxa" w:w="140"/>
      </w:tblCellMar>
    </w:tblPr>
    <w:rPr>
      <w:sz w:val="20"/>
    </w:rPr>
    <w:tblStylePr w:type="firstRow">
      <w:rPr>
        <w:rFonts w:ascii="Segoe UI Semibold" w:hAnsi="Segoe UI Semibold"/>
        <w:b/>
        <w:color w:val="FFFFFF"/>
        <w:sz w:val="20"/>
      </w:rPr>
      <w:tcPr>
        <w:shd w:color="auto" w:fill="0F6CBD" w:val="clear"/>
      </w:tcPr>
    </w:tblStylePr>
    <w:tblStylePr w:type="band1Horz">
      <w:tcPr>
        <w:shd w:color="auto" w:fill="F2F7FC" w:val="clear"/>
      </w:tcPr>
    </w:tblStylePr>
    <w:tblStylePr w:type="band2Horz">
      <w:tcPr>
        <w:shd w:color="auto" w:fill="FFFFFF" w:val="clear"/>
      </w:tcPr>
    </w:tblStylePr>
  </w:style>
  <w:style w:styleId="CompactParagraph" w:type="paragraph">
    <w:name w:val="Compact"/>
    <w:basedOn w:val="Normal"/>
    <w:qFormat/>
    <w:pPr>
      <w:spacing w:after="0" w:before="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Relationship Type="http://schemas.openxmlformats.org/officeDocument/2006/relationships/hyperlink" Id="rId10" Target="./ARCHITECTURE.md" TargetMode="External" /><Relationship Type="http://schemas.openxmlformats.org/officeDocument/2006/relationships/hyperlink" Id="rId9" Target="./SPEC.md" TargetMode="External" /><Relationship Type="http://schemas.openxmlformats.org/officeDocument/2006/relationships/hyperlink" Id="rId12" Target="./ado/ado-tasks.md" TargetMode="External" /><Relationship Type="http://schemas.openxmlformats.org/officeDocument/2006/relationships/hyperlink" Id="rId11" Target="./openapi/playtest-ingestion.ya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ARCHITECTURE.md" TargetMode="External" /><Relationship Type="http://schemas.openxmlformats.org/officeDocument/2006/relationships/hyperlink" Id="rId9" Target="./SPEC.md" TargetMode="External" /><Relationship Type="http://schemas.openxmlformats.org/officeDocument/2006/relationships/hyperlink" Id="rId12" Target="./ado/ado-tasks.md" TargetMode="External" /><Relationship Type="http://schemas.openxmlformats.org/officeDocument/2006/relationships/hyperlink" Id="rId11" Target="./openapi/playtest-ingestion.ya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Instantly Shareable Playtest</dc:title>
  <dc:creator>Melanie Chen · Microsoft Gaming Intern (Cloud Streaming)</dc:creator>
  <cp:keywords/>
  <dcterms:created xsi:type="dcterms:W3CDTF">2026-05-30T04:25:42Z</dcterms:created>
  <dcterms:modified xsi:type="dcterms:W3CDTF">2026-05-30T04:25:42Z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v1 — 2026</vt:lpwstr>
  </property>
  <property fmtid="{D5CDD505-2E9C-101B-9397-08002B2CF9AE}" pid="3" name="subtitle">
    <vt:lpwstr>Spec at a glance — for reviewers</vt:lpwstr>
  </property>
</Properties>
</file>