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4E79"/>
          <w:sz w:val="40"/>
        </w:rPr>
        <w:t>Instantly Shareable Playtest — Spec Review &amp; Redone Sections</w:t>
      </w:r>
    </w:p>
    <w:p>
      <w:pPr>
        <w:spacing w:after="40" w:before="0"/>
      </w:pPr>
      <w:r>
        <w:rPr>
          <w:b w:val="0"/>
          <w:i/>
          <w:sz w:val="24"/>
        </w:rPr>
        <w:t>Implementation Specification: Playtest × xCloud streaming</w:t>
      </w:r>
    </w:p>
    <w:p>
      <w:pPr>
        <w:spacing w:after="80" w:before="0"/>
      </w:pPr>
      <w:r>
        <w:rPr>
          <w:b w:val="0"/>
          <w:i w:val="0"/>
          <w:color w:val="606060"/>
          <w:sz w:val="20"/>
        </w:rPr>
        <w:t>Melanie Chen · Microsoft Xbox Intern · Review pass against syncs, PRs &amp; future plans · 2026-06-15</w:t>
      </w:r>
    </w:p>
    <w:p>
      <w:pPr>
        <w:spacing w:after="120" w:before="0"/>
      </w:pPr>
      <w:r>
        <w:rPr>
          <w:b w:val="0"/>
          <w:i w:val="0"/>
          <w:sz w:val="21"/>
        </w:rPr>
        <w:t>This document reviews Draft v2 (2026-06-03) against everything decided since: the intern syncs, the cross-repo PRs, the verified code, and the open future-plan threads. Part A lists the key things that no longer align. Part B gives copy-paste-ready rewrites of the sections that need redoing (drop each one straight into the old doc). Part C re-groups Next Steps by theme.</w:t>
      </w:r>
    </w:p>
    <w:p>
      <w:pPr>
        <w:spacing w:before="80"/>
      </w:pPr>
      <w:r>
        <w:rPr>
          <w:b/>
          <w:i w:val="0"/>
          <w:sz w:val="21"/>
        </w:rPr>
        <w:t xml:space="preserve">How to read: </w:t>
      </w:r>
      <w:r>
        <w:rPr>
          <w:b w:val="0"/>
          <w:i w:val="0"/>
          <w:sz w:val="21"/>
          <w:highlight w:val="yellow"/>
        </w:rPr>
        <w:t>highlighted text</w:t>
      </w:r>
      <w:r>
        <w:rPr>
          <w:b w:val="0"/>
          <w:i w:val="0"/>
          <w:sz w:val="21"/>
        </w:rPr>
        <w:t xml:space="preserve"> = changed/needs attention · </w:t>
      </w:r>
      <w:r>
        <w:rPr>
          <w:b/>
          <w:i w:val="0"/>
          <w:color w:val="B00000"/>
          <w:sz w:val="21"/>
        </w:rPr>
        <w:t>DRIFT</w:t>
      </w:r>
      <w:r>
        <w:rPr>
          <w:b w:val="0"/>
          <w:i w:val="0"/>
          <w:sz w:val="21"/>
        </w:rPr>
        <w:t xml:space="preserve"> = spec no longer matches shipped code · </w:t>
      </w:r>
      <w:r>
        <w:rPr>
          <w:b/>
          <w:i w:val="0"/>
          <w:color w:val="1E6B2F"/>
          <w:sz w:val="21"/>
        </w:rPr>
        <w:t>REDONE</w:t>
      </w:r>
      <w:r>
        <w:rPr>
          <w:b w:val="0"/>
          <w:i w:val="0"/>
          <w:sz w:val="21"/>
        </w:rPr>
        <w:t xml:space="preserve"> = paste-ready replacement.</w:t>
      </w:r>
    </w:p>
    <w:p>
      <w:pPr>
        <w:spacing w:before="320" w:after="120"/>
        <w:pBdr>
          <w:bottom w:val="single" w:sz="6" w:space="2" w:color="1F4E79"/>
        </w:pBdr>
      </w:pPr>
      <w:r>
        <w:rPr>
          <w:b/>
          <w:color w:val="1F4E79"/>
          <w:sz w:val="32"/>
        </w:rPr>
        <w:t>Part A — Key changes that no longer align</w:t>
      </w:r>
    </w:p>
    <w:p>
      <w:pPr>
        <w:spacing w:after="120" w:before="0"/>
      </w:pPr>
      <w:r>
        <w:rPr>
          <w:b w:val="0"/>
          <w:i w:val="0"/>
          <w:sz w:val="20"/>
        </w:rPr>
        <w:t>Ordered roughly by blast radius. Each row says what the spec currently states, what is actually true now (from code / syncs / future plans), and what to do. Items marked BUG would break the end-to-end flow if shipped as written.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736"/>
          </w:tcPr>
          <w:p>
            <w:r>
              <w:rPr>
                <w:b/>
              </w:rPr>
              <w:t>Spec says</w:t>
            </w:r>
          </w:p>
        </w:tc>
        <w:tc>
          <w:tcPr>
            <w:tcW w:type="dxa" w:w="3456"/>
          </w:tcPr>
          <w:p>
            <w:r>
              <w:rPr>
                <w:b/>
              </w:rPr>
              <w:t>Actually true now</w:t>
            </w:r>
          </w:p>
        </w:tc>
        <w:tc>
          <w:tcPr>
            <w:tcW w:type="dxa" w:w="2880"/>
          </w:tcPr>
          <w:p>
            <w:r>
              <w:rPr>
                <w:b/>
              </w:rPr>
              <w:t>Do this</w:t>
            </w:r>
          </w:p>
        </w:tc>
      </w:tr>
      <w:tr>
        <w:tc>
          <w:tcPr>
            <w:tcW w:type="dxa" w:w="2160"/>
          </w:tcPr>
          <w:p>
            <w:r>
              <w:rPr>
                <w:b/>
                <w:sz w:val="19"/>
              </w:rPr>
              <w:t>1. Platform value (BUG)</w:t>
            </w:r>
            <w:r>
              <w:br/>
            </w:r>
            <w:r>
              <w:rPr>
                <w:b/>
                <w:color w:val="B00000"/>
                <w:sz w:val="16"/>
              </w:rPr>
              <w:t>DRIFT</w:t>
            </w:r>
          </w:p>
        </w:tc>
        <w:tc>
          <w:tcPr>
            <w:tcW w:type="dxa" w:w="2736"/>
          </w:tcPr>
          <w:p>
            <w:r>
              <w:rPr>
                <w:sz w:val="19"/>
              </w:rPr>
              <w:t>§5.2 sends Platform = "WINDOWS.DESKTOP".</w:t>
            </w:r>
          </w:p>
        </w:tc>
        <w:tc>
          <w:tcPr>
            <w:tcW w:type="dxa" w:w="3456"/>
          </w:tcPr>
          <w:p>
            <w:r>
              <w:rPr>
                <w:sz w:val="19"/>
                <w:highlight w:val="yellow"/>
              </w:rPr>
              <w:t>The receiver's StoreAsset.Validate() throws "Unsupported platform" unless Platform == ServerPlatform.PC ("PC") or Xbox; "WINDOWS.DESKTOP" appears nowhere in services.contentingestion.</w:t>
            </w:r>
          </w:p>
        </w:tc>
        <w:tc>
          <w:tcPr>
            <w:tcW w:type="dxa" w:w="2880"/>
          </w:tcPr>
          <w:p>
            <w:r>
              <w:rPr>
                <w:sz w:val="19"/>
              </w:rPr>
              <w:t>Map xbet's platform constant to "PC" before sending (or widen the receiver). Update §5.2.</w:t>
            </w:r>
          </w:p>
        </w:tc>
      </w:tr>
      <w:tr>
        <w:tc>
          <w:tcPr>
            <w:tcW w:type="dxa" w:w="2160"/>
          </w:tcPr>
          <w:p>
            <w:r>
              <w:rPr>
                <w:b/>
                <w:sz w:val="19"/>
              </w:rPr>
              <w:t>2. Route name</w:t>
            </w:r>
            <w:r>
              <w:br/>
            </w:r>
            <w:r>
              <w:rPr>
                <w:b/>
                <w:color w:val="B00000"/>
                <w:sz w:val="16"/>
              </w:rPr>
              <w:t>DRIFT</w:t>
            </w:r>
          </w:p>
        </w:tc>
        <w:tc>
          <w:tcPr>
            <w:tcW w:type="dxa" w:w="2736"/>
          </w:tcPr>
          <w:p>
            <w:r>
              <w:rPr>
                <w:sz w:val="19"/>
              </w:rPr>
              <w:t>Spec text + SAGE OpenAPI use playtestingestion.</w:t>
            </w:r>
          </w:p>
        </w:tc>
        <w:tc>
          <w:tcPr>
            <w:tcW w:type="dxa" w:w="3456"/>
          </w:tcPr>
          <w:p>
            <w:r>
              <w:rPr>
                <w:sz w:val="19"/>
                <w:highlight w:val="yellow"/>
              </w:rPr>
              <w:t>Shipped route is playtesttitleingestion (SAGE appsettings.xcloud.json; WorkflowsControllerV3).</w:t>
            </w:r>
          </w:p>
        </w:tc>
        <w:tc>
          <w:tcPr>
            <w:tcW w:type="dxa" w:w="2880"/>
          </w:tcPr>
          <w:p>
            <w:r>
              <w:rPr>
                <w:sz w:val="19"/>
              </w:rPr>
              <w:t>Pick one spelling; align spec, OpenAPI, SAGE config, receiver controller. Recommend playtesttitleingestion.</w:t>
            </w:r>
          </w:p>
        </w:tc>
      </w:tr>
      <w:tr>
        <w:tc>
          <w:tcPr>
            <w:tcW w:type="dxa" w:w="2160"/>
          </w:tcPr>
          <w:p>
            <w:r>
              <w:rPr>
                <w:b/>
                <w:sz w:val="19"/>
              </w:rPr>
              <w:t>3. DELETE / teardown route</w:t>
            </w:r>
            <w:r>
              <w:br/>
            </w:r>
            <w:r>
              <w:rPr>
                <w:b/>
                <w:color w:val="B00000"/>
                <w:sz w:val="16"/>
              </w:rPr>
              <w:t>DRIFT</w:t>
            </w:r>
          </w:p>
        </w:tc>
        <w:tc>
          <w:tcPr>
            <w:tcW w:type="dxa" w:w="2736"/>
          </w:tcPr>
          <w:p>
            <w:r>
              <w:rPr>
                <w:sz w:val="19"/>
              </w:rPr>
              <w:t>§6.2.1 + OpenAPI advertise DELETE …/by-playtest/{playtestId}.</w:t>
            </w:r>
          </w:p>
        </w:tc>
        <w:tc>
          <w:tcPr>
            <w:tcW w:type="dxa" w:w="3456"/>
          </w:tcPr>
          <w:p>
            <w:r>
              <w:rPr>
                <w:sz w:val="19"/>
                <w:highlight w:val="yellow"/>
              </w:rPr>
              <w:t>It exists in no running surface — not in SAGE route config, not in the receiver controller. PT6 teardown is unimplemented.</w:t>
            </w:r>
          </w:p>
        </w:tc>
        <w:tc>
          <w:tcPr>
            <w:tcW w:type="dxa" w:w="2880"/>
          </w:tcPr>
          <w:p>
            <w:r>
              <w:rPr>
                <w:sz w:val="19"/>
              </w:rPr>
              <w:t>Either implement it (XC1/XC3) or remove it from the published contract until built. See redone §6.2.1 + Lifecycle next-steps.</w:t>
            </w:r>
          </w:p>
        </w:tc>
      </w:tr>
      <w:tr>
        <w:tc>
          <w:tcPr>
            <w:tcW w:type="dxa" w:w="2160"/>
          </w:tcPr>
          <w:p>
            <w:r>
              <w:rPr>
                <w:b/>
                <w:sz w:val="19"/>
              </w:rPr>
              <w:t>4. Markets</w:t>
            </w:r>
            <w:r>
              <w:br/>
            </w:r>
            <w:r>
              <w:rPr>
                <w:b/>
                <w:color w:val="B00000"/>
                <w:sz w:val="16"/>
              </w:rPr>
              <w:t>DRIFT</w:t>
            </w:r>
          </w:p>
        </w:tc>
        <w:tc>
          <w:tcPr>
            <w:tcW w:type="dxa" w:w="2736"/>
          </w:tcPr>
          <w:p>
            <w:r>
              <w:rPr>
                <w:sz w:val="19"/>
              </w:rPr>
              <w:t>§5.2 says Markets = [Id.Parse("US")] (single market).</w:t>
            </w:r>
          </w:p>
        </w:tc>
        <w:tc>
          <w:tcPr>
            <w:tcW w:type="dxa" w:w="3456"/>
          </w:tcPr>
          <w:p>
            <w:r>
              <w:rPr>
                <w:sz w:val="19"/>
                <w:highlight w:val="yellow"/>
              </w:rPr>
              <w:t>The builder sends PlaytestConstants.DefaultMarkets (~87 markets).</w:t>
            </w:r>
          </w:p>
        </w:tc>
        <w:tc>
          <w:tcPr>
            <w:tcW w:type="dxa" w:w="2880"/>
          </w:tcPr>
          <w:p>
            <w:r>
              <w:rPr>
                <w:sz w:val="19"/>
              </w:rPr>
              <w:t>Update §5.2 to DefaultMarkets, or narrow the constant if single-market was intended.</w:t>
            </w:r>
          </w:p>
        </w:tc>
      </w:tr>
      <w:tr>
        <w:tc>
          <w:tcPr>
            <w:tcW w:type="dxa" w:w="2160"/>
          </w:tcPr>
          <w:p>
            <w:r>
              <w:rPr>
                <w:b/>
                <w:sz w:val="19"/>
              </w:rPr>
              <w:t>5. Missing required contract fields</w:t>
            </w:r>
            <w:r>
              <w:br/>
            </w:r>
            <w:r>
              <w:rPr>
                <w:b/>
                <w:color w:val="B00000"/>
                <w:sz w:val="16"/>
              </w:rPr>
              <w:t>DRIFT</w:t>
            </w:r>
          </w:p>
        </w:tc>
        <w:tc>
          <w:tcPr>
            <w:tcW w:type="dxa" w:w="2736"/>
          </w:tcPr>
          <w:p>
            <w:r>
              <w:rPr>
                <w:sz w:val="19"/>
              </w:rPr>
              <w:t>§5.1 omits PartnerId and PlaytestProductId.</w:t>
            </w:r>
          </w:p>
        </w:tc>
        <w:tc>
          <w:tcPr>
            <w:tcW w:type="dxa" w:w="3456"/>
          </w:tcPr>
          <w:p>
            <w:r>
              <w:rPr>
                <w:sz w:val="19"/>
                <w:highlight w:val="yellow"/>
              </w:rPr>
              <w:t>Both are required on the shipped sender + receiver contracts. xbet sets PartnerId = SellerId, PlaytestProductId = PlaytestGeneratedXProductBigId.</w:t>
            </w:r>
          </w:p>
        </w:tc>
        <w:tc>
          <w:tcPr>
            <w:tcW w:type="dxa" w:w="2880"/>
          </w:tcPr>
          <w:p>
            <w:r>
              <w:rPr>
                <w:sz w:val="19"/>
              </w:rPr>
              <w:t>Add both rows to §5.1 (done in redone §5.1).</w:t>
            </w:r>
          </w:p>
        </w:tc>
      </w:tr>
      <w:tr>
        <w:tc>
          <w:tcPr>
            <w:tcW w:type="dxa" w:w="2160"/>
          </w:tcPr>
          <w:p>
            <w:r>
              <w:rPr>
                <w:b/>
                <w:sz w:val="19"/>
              </w:rPr>
              <w:t>6. PartnerId derivation</w:t>
            </w:r>
            <w:r>
              <w:br/>
            </w:r>
            <w:r>
              <w:rPr>
                <w:b/>
                <w:color w:val="B00000"/>
                <w:sz w:val="16"/>
              </w:rPr>
              <w:t>DRIFT</w:t>
            </w:r>
          </w:p>
        </w:tc>
        <w:tc>
          <w:tcPr>
            <w:tcW w:type="dxa" w:w="2736"/>
          </w:tcPr>
          <w:p>
            <w:r>
              <w:rPr>
                <w:sz w:val="19"/>
              </w:rPr>
              <w:t>§5.3 derives PartnerId = Id.Parse("PLAYTEST") inside the workflow.</w:t>
            </w:r>
          </w:p>
        </w:tc>
        <w:tc>
          <w:tcPr>
            <w:tcW w:type="dxa" w:w="3456"/>
          </w:tcPr>
          <w:p>
            <w:r>
              <w:rPr>
                <w:sz w:val="19"/>
                <w:highlight w:val="yellow"/>
              </w:rPr>
              <w:t>Stale — PartnerId is now SENT by xbet (= SellerId, with a code TODO: SellerId vs PublisherId unconfirmed).</w:t>
            </w:r>
          </w:p>
        </w:tc>
        <w:tc>
          <w:tcPr>
            <w:tcW w:type="dxa" w:w="2880"/>
          </w:tcPr>
          <w:p>
            <w:r>
              <w:rPr>
                <w:sz w:val="19"/>
              </w:rPr>
              <w:t>Remove PartnerId from §5.3; reconcile in §5.1 + §9 Q4.</w:t>
            </w:r>
          </w:p>
        </w:tc>
      </w:tr>
      <w:tr>
        <w:tc>
          <w:tcPr>
            <w:tcW w:type="dxa" w:w="2160"/>
          </w:tcPr>
          <w:p>
            <w:r>
              <w:rPr>
                <w:b/>
                <w:sz w:val="19"/>
              </w:rPr>
              <w:t>7. Offering-id key</w:t>
            </w:r>
            <w:r>
              <w:br/>
            </w:r>
            <w:r>
              <w:rPr>
                <w:b/>
                <w:color w:val="B00000"/>
                <w:sz w:val="16"/>
              </w:rPr>
              <w:t>DRIFT</w:t>
            </w:r>
          </w:p>
        </w:tc>
        <w:tc>
          <w:tcPr>
            <w:tcW w:type="dxa" w:w="2736"/>
          </w:tcPr>
          <w:p>
            <w:r>
              <w:rPr>
                <w:sz w:val="19"/>
              </w:rPr>
              <w:t>§3.5/§3.7 derive the offering id from PlaytestId.</w:t>
            </w:r>
          </w:p>
        </w:tc>
        <w:tc>
          <w:tcPr>
            <w:tcW w:type="dxa" w:w="3456"/>
          </w:tcPr>
          <w:p>
            <w:r>
              <w:rPr>
                <w:sz w:val="19"/>
                <w:highlight w:val="yellow"/>
              </w:rPr>
              <w:t>The receiver builds it from the stable product id: xpt{PlaytestProductId} (stable across republishes); Partner Registry centralizes it on the request.</w:t>
            </w:r>
          </w:p>
        </w:tc>
        <w:tc>
          <w:tcPr>
            <w:tcW w:type="dxa" w:w="2880"/>
          </w:tcPr>
          <w:p>
            <w:r>
              <w:rPr>
                <w:sz w:val="19"/>
              </w:rPr>
              <w:t>Align spec on the stable product id (now a Resolved Decision, §8).</w:t>
            </w:r>
          </w:p>
        </w:tc>
      </w:tr>
      <w:tr>
        <w:tc>
          <w:tcPr>
            <w:tcW w:type="dxa" w:w="2160"/>
          </w:tcPr>
          <w:p>
            <w:r>
              <w:rPr>
                <w:b/>
                <w:sz w:val="19"/>
              </w:rPr>
              <w:t>8. XboxTitleId resolver</w:t>
            </w:r>
            <w:r>
              <w:br/>
            </w:r>
            <w:r>
              <w:rPr>
                <w:b/>
                <w:color w:val="1E6B2F"/>
                <w:sz w:val="16"/>
              </w:rPr>
              <w:t>CHANGED</w:t>
            </w:r>
          </w:p>
        </w:tc>
        <w:tc>
          <w:tcPr>
            <w:tcW w:type="dxa" w:w="2736"/>
          </w:tcPr>
          <w:p>
            <w:r>
              <w:rPr>
                <w:sz w:val="19"/>
              </w:rPr>
              <w:t>§7/§5.2 resolve it from XProduct alternateIds[idType=XboxTitleId].value.</w:t>
            </w:r>
          </w:p>
        </w:tc>
        <w:tc>
          <w:tcPr>
            <w:tcW w:type="dxa" w:w="3456"/>
          </w:tcPr>
          <w:p>
            <w:r>
              <w:rPr>
                <w:sz w:val="19"/>
                <w:highlight w:val="yellow"/>
              </w:rPr>
              <w:t>Superseded (Sync 3 — Anthony): resolve via the XORc service-config API, sourced from XCon — and the title-id field must first be ADDED to that API. Still an OPEN P0; the builder takes a caller-supplied xboxTitleId today.</w:t>
            </w:r>
          </w:p>
        </w:tc>
        <w:tc>
          <w:tcPr>
            <w:tcW w:type="dxa" w:w="2880"/>
          </w:tcPr>
          <w:p>
            <w:r>
              <w:rPr>
                <w:sz w:val="19"/>
              </w:rPr>
              <w:t>Rewrite the §7 blocker row + §3.0 to the XORc path; keep it flagged open with an owner.</w:t>
            </w:r>
          </w:p>
        </w:tc>
      </w:tr>
      <w:tr>
        <w:tc>
          <w:tcPr>
            <w:tcW w:type="dxa" w:w="2160"/>
          </w:tcPr>
          <w:p>
            <w:r>
              <w:rPr>
                <w:b/>
                <w:sz w:val="19"/>
              </w:rPr>
              <w:t>9. Polling strategy (§3.10 unfinished)</w:t>
            </w:r>
            <w:r>
              <w:br/>
            </w:r>
            <w:r>
              <w:rPr>
                <w:b/>
                <w:color w:val="B00000"/>
                <w:sz w:val="16"/>
              </w:rPr>
              <w:t>INCOMPLETE</w:t>
            </w:r>
          </w:p>
        </w:tc>
        <w:tc>
          <w:tcPr>
            <w:tcW w:type="dxa" w:w="2736"/>
          </w:tcPr>
          <w:p>
            <w:r>
              <w:rPr>
                <w:sz w:val="19"/>
              </w:rPr>
              <w:t>§3.10 ends with "FINALIZE THIS SECTION"; PT5 cross-refs §3.1 for backoff.</w:t>
            </w:r>
          </w:p>
        </w:tc>
        <w:tc>
          <w:tcPr>
            <w:tcW w:type="dxa" w:w="3456"/>
          </w:tcPr>
          <w:p>
            <w:r>
              <w:rPr>
                <w:sz w:val="19"/>
                <w:highlight w:val="yellow"/>
              </w:rPr>
              <w:t>Decided: v1 = persist jobId, poll with infinite retry, hold in a "waiting for ingestion" state until terminal AND offering complete (Brian/Anthony/David K). Refinement (foreground backoff, background reconciliation, ~24h cap, alerts) is deferred.</w:t>
            </w:r>
          </w:p>
        </w:tc>
        <w:tc>
          <w:tcPr>
            <w:tcW w:type="dxa" w:w="2880"/>
          </w:tcPr>
          <w:p>
            <w:r>
              <w:rPr>
                <w:sz w:val="19"/>
              </w:rPr>
              <w:t>Replace §3.10 (done below). Fix PT5 ref §3.1 → §3.10.</w:t>
            </w:r>
          </w:p>
        </w:tc>
      </w:tr>
      <w:tr>
        <w:tc>
          <w:tcPr>
            <w:tcW w:type="dxa" w:w="2160"/>
          </w:tcPr>
          <w:p>
            <w:r>
              <w:rPr>
                <w:b/>
                <w:sz w:val="19"/>
              </w:rPr>
              <w:t>10. PC install-readiness poll</w:t>
            </w:r>
            <w:r>
              <w:br/>
            </w:r>
            <w:r>
              <w:rPr>
                <w:b/>
                <w:color w:val="1E6B2F"/>
                <w:sz w:val="16"/>
              </w:rPr>
              <w:t>CHANGED</w:t>
            </w:r>
          </w:p>
        </w:tc>
        <w:tc>
          <w:tcPr>
            <w:tcW w:type="dxa" w:w="2736"/>
          </w:tcPr>
          <w:p>
            <w:r>
              <w:rPr>
                <w:sz w:val="19"/>
              </w:rPr>
              <w:t>§3.6/XC6 imply forking PollFirstInstallAsync so PC playtests poll the install pipeline.</w:t>
            </w:r>
          </w:p>
        </w:tc>
        <w:tc>
          <w:tcPr>
            <w:tcW w:type="dxa" w:w="3456"/>
          </w:tcPr>
          <w:p>
            <w:r>
              <w:rPr>
                <w:sz w:val="19"/>
                <w:highlight w:val="yellow"/>
              </w:rPr>
              <w:t>v1 receiver short-circuits: "treat a PC title as ready once the offering is configured" (TODO for a real check). Also: attaching the title to the offering is what TRIGGERS the install; then poll a PC server-query API (likely services.pcservices).</w:t>
            </w:r>
          </w:p>
        </w:tc>
        <w:tc>
          <w:tcPr>
            <w:tcW w:type="dxa" w:w="2880"/>
          </w:tcPr>
          <w:p>
            <w:r>
              <w:rPr>
                <w:sz w:val="19"/>
              </w:rPr>
              <w:t>Note the v1 short-circuit + the attach-triggers-install ordering in §3.6/§5.3; keep the real PC check as a next step.</w:t>
            </w:r>
          </w:p>
        </w:tc>
      </w:tr>
      <w:tr>
        <w:tc>
          <w:tcPr>
            <w:tcW w:type="dxa" w:w="2160"/>
          </w:tcPr>
          <w:p>
            <w:r>
              <w:rPr>
                <w:b/>
                <w:sz w:val="19"/>
              </w:rPr>
              <w:t>11. Empty sections 8 / 9 / 10</w:t>
            </w:r>
            <w:r>
              <w:br/>
            </w:r>
            <w:r>
              <w:rPr>
                <w:b/>
                <w:color w:val="B00000"/>
                <w:sz w:val="16"/>
              </w:rPr>
              <w:t>MISSING</w:t>
            </w:r>
          </w:p>
        </w:tc>
        <w:tc>
          <w:tcPr>
            <w:tcW w:type="dxa" w:w="2736"/>
          </w:tcPr>
          <w:p>
            <w:r>
              <w:rPr>
                <w:sz w:val="19"/>
              </w:rPr>
              <w:t>§8 Resolved Decisions, §9 Open Questions, §10 Success Criteria are in the TOC but have no body.</w:t>
            </w:r>
          </w:p>
        </w:tc>
        <w:tc>
          <w:tcPr>
            <w:tcW w:type="dxa" w:w="3456"/>
          </w:tcPr>
          <w:p>
            <w:r>
              <w:rPr>
                <w:sz w:val="19"/>
                <w:highlight w:val="yellow"/>
              </w:rPr>
              <w:t>Content exists in the earlier draft + project brief and is corroborated by code.</w:t>
            </w:r>
          </w:p>
        </w:tc>
        <w:tc>
          <w:tcPr>
            <w:tcW w:type="dxa" w:w="2880"/>
          </w:tcPr>
          <w:p>
            <w:r>
              <w:rPr>
                <w:sz w:val="19"/>
              </w:rPr>
              <w:t>Paste the reconstructed §8 / §9 / §10 below.</w:t>
            </w:r>
          </w:p>
        </w:tc>
      </w:tr>
      <w:tr>
        <w:tc>
          <w:tcPr>
            <w:tcW w:type="dxa" w:w="2160"/>
          </w:tcPr>
          <w:p>
            <w:r>
              <w:rPr>
                <w:b/>
                <w:sz w:val="19"/>
              </w:rPr>
              <w:t>12. Status vocabulary</w:t>
            </w:r>
            <w:r>
              <w:br/>
            </w:r>
            <w:r>
              <w:rPr>
                <w:b/>
                <w:color w:val="B00000"/>
                <w:sz w:val="16"/>
              </w:rPr>
              <w:t>DRIFT</w:t>
            </w:r>
          </w:p>
        </w:tc>
        <w:tc>
          <w:tcPr>
            <w:tcW w:type="dxa" w:w="2736"/>
          </w:tcPr>
          <w:p>
            <w:r>
              <w:rPr>
                <w:sz w:val="19"/>
              </w:rPr>
              <w:t>§6.2 status ∈ {Running, Streamable, Failed, InstallNotFound}.</w:t>
            </w:r>
          </w:p>
        </w:tc>
        <w:tc>
          <w:tcPr>
            <w:tcW w:type="dxa" w:w="3456"/>
          </w:tcPr>
          <w:p>
            <w:r>
              <w:rPr>
                <w:sz w:val="19"/>
                <w:highlight w:val="yellow"/>
              </w:rPr>
              <w:t>Controller returns OperationStatus; job success = OfferingId != null; legacy enum is {NotStarted, Running, Succeeded, Failed, Conflict}.</w:t>
            </w:r>
          </w:p>
        </w:tc>
        <w:tc>
          <w:tcPr>
            <w:tcW w:type="dxa" w:w="2880"/>
          </w:tcPr>
          <w:p>
            <w:r>
              <w:rPr>
                <w:sz w:val="19"/>
              </w:rPr>
              <w:t>Reconcile the §6.2 vocabulary with OperationStatus (noted in redone §6.2).</w:t>
            </w:r>
          </w:p>
        </w:tc>
      </w:tr>
      <w:tr>
        <w:tc>
          <w:tcPr>
            <w:tcW w:type="dxa" w:w="2160"/>
          </w:tcPr>
          <w:p>
            <w:r>
              <w:rPr>
                <w:b/>
                <w:sz w:val="19"/>
              </w:rPr>
              <w:t>13. Delete model</w:t>
            </w:r>
            <w:r>
              <w:br/>
            </w:r>
            <w:r>
              <w:rPr>
                <w:b/>
                <w:color w:val="1E6B2F"/>
                <w:sz w:val="16"/>
              </w:rPr>
              <w:t>CHANGED</w:t>
            </w:r>
          </w:p>
        </w:tc>
        <w:tc>
          <w:tcPr>
            <w:tcW w:type="dxa" w:w="2736"/>
          </w:tcPr>
          <w:p>
            <w:r>
              <w:rPr>
                <w:sz w:val="19"/>
              </w:rPr>
              <w:t>§6.2.1 only sets AllowedDnaGroups = [].</w:t>
            </w:r>
          </w:p>
        </w:tc>
        <w:tc>
          <w:tcPr>
            <w:tcW w:type="dxa" w:w="3456"/>
          </w:tcPr>
          <w:p>
            <w:r>
              <w:rPr>
                <w:sz w:val="19"/>
                <w:highlight w:val="yellow"/>
              </w:rPr>
              <w:t>v1 model is tombstone (AllowedDnaGroups = []) + a 7-day GC pass that fully deletes the offering/assets; needs explicit xCloud sign-off (deviates from a literal hard delete).</w:t>
            </w:r>
          </w:p>
        </w:tc>
        <w:tc>
          <w:tcPr>
            <w:tcW w:type="dxa" w:w="2880"/>
          </w:tcPr>
          <w:p>
            <w:r>
              <w:rPr>
                <w:sz w:val="19"/>
              </w:rPr>
              <w:t>Expand §6.2.1 to describe tombstone + GC (done below).</w:t>
            </w:r>
          </w:p>
        </w:tc>
      </w:tr>
      <w:tr>
        <w:tc>
          <w:tcPr>
            <w:tcW w:type="dxa" w:w="2160"/>
          </w:tcPr>
          <w:p>
            <w:r>
              <w:rPr>
                <w:b/>
                <w:sz w:val="19"/>
              </w:rPr>
              <w:t>14. Cross-tenant S2S status</w:t>
            </w:r>
            <w:r>
              <w:br/>
            </w:r>
            <w:r>
              <w:rPr>
                <w:b/>
                <w:color w:val="1E6B2F"/>
                <w:sz w:val="16"/>
              </w:rPr>
              <w:t>CHANGED</w:t>
            </w:r>
          </w:p>
        </w:tc>
        <w:tc>
          <w:tcPr>
            <w:tcW w:type="dxa" w:w="2736"/>
          </w:tcPr>
          <w:p>
            <w:r>
              <w:rPr>
                <w:sz w:val="19"/>
              </w:rPr>
              <w:t>§3.9/§7 present Green→Corp (PR #15715445) as the short-term solution.</w:t>
            </w:r>
          </w:p>
        </w:tc>
        <w:tc>
          <w:tcPr>
            <w:tcW w:type="dxa" w:w="3456"/>
          </w:tcPr>
          <w:p>
            <w:r>
              <w:rPr>
                <w:sz w:val="19"/>
                <w:highlight w:val="yellow"/>
              </w:rPr>
              <w:t>Deferred out of summer scope — the foundational demo runs IN-TENANT. The cited PR id/direction needs verifying (looked inverted), and no UseCrossTenantAuth/auth-scheme flag was found on the SAGE playtest route (peers use UsePmeAuth: true), so XC2 isn't actually wired.</w:t>
            </w:r>
          </w:p>
        </w:tc>
        <w:tc>
          <w:tcPr>
            <w:tcW w:type="dxa" w:w="2880"/>
          </w:tcPr>
          <w:p>
            <w:r>
              <w:rPr>
                <w:sz w:val="19"/>
              </w:rPr>
              <w:t>Mark §7 cross-tenant as deferred/demo-in-tenant; add the verify-PR + auth-scheme action to §9.</w:t>
            </w:r>
          </w:p>
        </w:tc>
      </w:tr>
      <w:tr>
        <w:tc>
          <w:tcPr>
            <w:tcW w:type="dxa" w:w="2160"/>
          </w:tcPr>
          <w:p>
            <w:r>
              <w:rPr>
                <w:b/>
                <w:sz w:val="19"/>
              </w:rPr>
              <w:t>15. AumID</w:t>
            </w:r>
            <w:r>
              <w:br/>
            </w:r>
            <w:r>
              <w:rPr>
                <w:b/>
                <w:color w:val="1E6B2F"/>
                <w:sz w:val="16"/>
              </w:rPr>
              <w:t>RESOLVED</w:t>
            </w:r>
          </w:p>
        </w:tc>
        <w:tc>
          <w:tcPr>
            <w:tcW w:type="dxa" w:w="2736"/>
          </w:tcPr>
          <w:p>
            <w:r>
              <w:rPr>
                <w:sz w:val="19"/>
              </w:rPr>
              <w:t>§7 lists AumID as an open blocker.</w:t>
            </w:r>
          </w:p>
        </w:tc>
        <w:tc>
          <w:tcPr>
            <w:tcW w:type="dxa" w:w="3456"/>
          </w:tcPr>
          <w:p>
            <w:r>
              <w:rPr>
                <w:sz w:val="19"/>
                <w:highlight w:val="yellow"/>
              </w:rPr>
              <w:t>Resolved for v1: constant default; Timi confirmed it's telemetry-only server-side. Real ApplicationId from the AppX manifest is a v1.1 follow-up.</w:t>
            </w:r>
          </w:p>
        </w:tc>
        <w:tc>
          <w:tcPr>
            <w:tcW w:type="dxa" w:w="2880"/>
          </w:tcPr>
          <w:p>
            <w:r>
              <w:rPr>
                <w:sz w:val="19"/>
              </w:rPr>
              <w:t>Move AumID from "blocker" to "resolved for v1" (§8) with the v1.1 follow-up in Next Steps.</w:t>
            </w:r>
          </w:p>
        </w:tc>
      </w:tr>
      <w:tr>
        <w:tc>
          <w:tcPr>
            <w:tcW w:type="dxa" w:w="2160"/>
          </w:tcPr>
          <w:p>
            <w:r>
              <w:rPr>
                <w:b/>
                <w:sz w:val="19"/>
              </w:rPr>
              <w:t>16. TOC / numbering</w:t>
            </w:r>
            <w:r>
              <w:br/>
            </w:r>
            <w:r>
              <w:rPr>
                <w:b/>
                <w:color w:val="B00000"/>
                <w:sz w:val="16"/>
              </w:rPr>
              <w:t>DRIFT</w:t>
            </w:r>
          </w:p>
        </w:tc>
        <w:tc>
          <w:tcPr>
            <w:tcW w:type="dxa" w:w="2736"/>
          </w:tcPr>
          <w:p>
            <w:r>
              <w:rPr>
                <w:sz w:val="19"/>
              </w:rPr>
              <w:t>TOC ends at "12. Glossary"; body has an unnumbered "12. Next Steps" and an "Appendix A: Glossary".</w:t>
            </w:r>
          </w:p>
        </w:tc>
        <w:tc>
          <w:tcPr>
            <w:tcW w:type="dxa" w:w="3456"/>
          </w:tcPr>
          <w:p>
            <w:r>
              <w:rPr>
                <w:sz w:val="19"/>
                <w:highlight w:val="yellow"/>
              </w:rPr>
              <w:t>Next Steps never appears in the TOC; the glossary is numbered two ways.</w:t>
            </w:r>
          </w:p>
        </w:tc>
        <w:tc>
          <w:tcPr>
            <w:tcW w:type="dxa" w:w="2880"/>
          </w:tcPr>
          <w:p>
            <w:r>
              <w:rPr>
                <w:sz w:val="19"/>
              </w:rPr>
              <w:t>Renumber Next Steps as §12 and Glossary as Appendix A (drop from numbered TOC), or make Glossary §12 and Next Steps §13. Make TOC + body agree.</w:t>
            </w:r>
          </w:p>
        </w:tc>
      </w:tr>
      <w:tr>
        <w:tc>
          <w:tcPr>
            <w:tcW w:type="dxa" w:w="2160"/>
          </w:tcPr>
          <w:p>
            <w:r>
              <w:rPr>
                <w:b/>
                <w:sz w:val="19"/>
              </w:rPr>
              <w:t>17. Missing §2.1 diagram</w:t>
            </w:r>
            <w:r>
              <w:br/>
            </w:r>
            <w:r>
              <w:rPr>
                <w:b/>
                <w:color w:val="B00000"/>
                <w:sz w:val="16"/>
              </w:rPr>
              <w:t>MISSING</w:t>
            </w:r>
          </w:p>
        </w:tc>
        <w:tc>
          <w:tcPr>
            <w:tcW w:type="dxa" w:w="2736"/>
          </w:tcPr>
          <w:p>
            <w:r>
              <w:rPr>
                <w:sz w:val="19"/>
              </w:rPr>
              <w:t>§2.1 "Diagram Flow" heading has no embedded diagram.</w:t>
            </w:r>
          </w:p>
        </w:tc>
        <w:tc>
          <w:tcPr>
            <w:tcW w:type="dxa" w:w="3456"/>
          </w:tcPr>
          <w:p>
            <w:r>
              <w:rPr>
                <w:sz w:val="19"/>
                <w:highlight w:val="yellow"/>
              </w:rPr>
              <w:t>Reviewer asked for it directly; the four-phase flow is only in the §2.2 table.</w:t>
            </w:r>
          </w:p>
        </w:tc>
        <w:tc>
          <w:tcPr>
            <w:tcW w:type="dxa" w:w="2880"/>
          </w:tcPr>
          <w:p>
            <w:r>
              <w:rPr>
                <w:sz w:val="19"/>
              </w:rPr>
              <w:t>Embed the publish → handoff → ingest → streamable sequence/swim-lane diagram inline.</w:t>
            </w:r>
          </w:p>
        </w:tc>
      </w:tr>
    </w:tbl>
    <w:p>
      <w:pPr>
        <w:spacing w:before="320" w:after="120"/>
        <w:pBdr>
          <w:bottom w:val="single" w:sz="6" w:space="2" w:color="1F4E79"/>
        </w:pBdr>
      </w:pPr>
      <w:r>
        <w:rPr>
          <w:b/>
          <w:color w:val="1F4E79"/>
          <w:sz w:val="32"/>
        </w:rPr>
        <w:t>Part B — Redone sections (copy-paste ready)</w:t>
      </w:r>
    </w:p>
    <w:p>
      <w:pPr>
        <w:spacing w:after="120" w:before="0"/>
      </w:pPr>
      <w:r>
        <w:rPr>
          <w:b w:val="0"/>
          <w:i w:val="0"/>
          <w:sz w:val="20"/>
        </w:rPr>
        <w:t>Each block below is a clean replacement for the matching section in the old doc. Paste over the existing section text. Highlighted spans are the substantive edits versus Draft v2.</w:t>
      </w:r>
    </w:p>
    <w:p>
      <w:pPr>
        <w:spacing w:before="200" w:after="40"/>
      </w:pPr>
      <w:r>
        <w:rPr>
          <w:b/>
          <w:color w:val="1E6B2F"/>
          <w:sz w:val="22"/>
        </w:rPr>
        <w:t>REDONE — §3.0  Streaming requires a resolvable Xbox Title ID</w:t>
      </w:r>
    </w:p>
    <w:p>
      <w:pPr>
        <w:spacing w:after="120" w:before="0"/>
      </w:pPr>
      <w:r>
        <w:rPr>
          <w:b w:val="0"/>
          <w:i w:val="0"/>
          <w:sz w:val="21"/>
        </w:rPr>
        <w:t>Decision: The "Enable Cloud Streaming" option is offered only when the selected package is Xbox Live–configured — i.e., it has a resolvable numeric Xbox Title ID. This is enforced at publish: if the creator has never published an Xbox Live configuration for the title, streaming is unavailable and the publish proceeds download-only.</w:t>
      </w:r>
    </w:p>
    <w:p>
      <w:r>
        <w:rPr>
          <w:b/>
          <w:i w:val="0"/>
          <w:sz w:val="21"/>
        </w:rPr>
        <w:t xml:space="preserve">Rationale: </w:t>
      </w:r>
      <w:r>
        <w:rPr>
          <w:b w:val="0"/>
          <w:i w:val="0"/>
          <w:sz w:val="21"/>
        </w:rPr>
        <w:t xml:space="preserve">XboxTitleId is required by the xCloud streaming-ingestion contract for games (StoreAsset.Validate() rejects a null/zero value) and Playtest's PlaytestProductDocumentBuilder currently hardcodes it empty, so ingestion would fail validation without a real value. The ID is not minted by Partner Center on publish; for a normal title it derives from Big Cat. Because xPlaytest populates the playtest's XProduct document and XProduct only supports lookup by product Big ID, the title ID has to be read from the parent/source product. </w:t>
      </w:r>
      <w:r>
        <w:rPr>
          <w:b w:val="0"/>
          <w:i w:val="0"/>
          <w:sz w:val="21"/>
          <w:highlight w:val="yellow"/>
        </w:rPr>
        <w:t>The resolution path is: Playtest → the XORc service-config read API → the Xbox Live service config sourced from XCon (both XORc and XCon are owned by our team). An API to read service config already exists; the Title ID is simply not one of the fields it returns yet, so the field must be added there first.</w:t>
      </w:r>
    </w:p>
    <w:p>
      <w:r>
        <w:rPr>
          <w:b/>
          <w:i w:val="0"/>
          <w:sz w:val="21"/>
          <w:highlight w:val="yellow"/>
        </w:rPr>
        <w:t xml:space="preserve">Status — still an open P0, not yet a solved design: </w:t>
      </w:r>
      <w:r>
        <w:rPr>
          <w:b w:val="0"/>
          <w:i w:val="0"/>
          <w:sz w:val="21"/>
        </w:rPr>
        <w:t>the shipped PlaytestIngestionPayloadBuilder.Build(…) takes the xboxTitleId as a caller-supplied parameter (resolving it is "out of scope" inside the builder), and Build_ZeroXboxTitleId_Throws confirms a zero id is rejected. Owner: Melanie Chen (xPlaytest) with Anthony Keller / the XCon+XORc team. Remaining work: confirm the XORc service-config read API, add the Title ID field to its response, wire a resolver into the publish path, and define publish-time behavior when XORc returns nothing.</w:t>
      </w:r>
    </w:p>
    <w:p>
      <w:pPr>
        <w:spacing w:after="120" w:before="0"/>
      </w:pPr>
      <w:r>
        <w:rPr>
          <w:b w:val="0"/>
          <w:i/>
          <w:sz w:val="21"/>
        </w:rPr>
        <w:t>Trade-off accepted: Developers whose title has never been published cannot stream their playtest in v1 — they get download-only.</w:t>
      </w:r>
    </w:p>
    <w:p>
      <w:pPr>
        <w:spacing w:before="200" w:after="40"/>
      </w:pPr>
      <w:r>
        <w:rPr>
          <w:b/>
          <w:color w:val="1E6B2F"/>
          <w:sz w:val="22"/>
        </w:rPr>
        <w:t>REDONE — §3.10  Polling vs Callback for Ingestion Completion  (replaces "FINALIZE THIS SECTION")</w:t>
      </w:r>
    </w:p>
    <w:p>
      <w:pPr>
        <w:spacing w:after="120" w:before="0"/>
      </w:pPr>
      <w:r>
        <w:rPr>
          <w:b w:val="0"/>
          <w:i w:val="0"/>
          <w:sz w:val="21"/>
        </w:rPr>
        <w:t>Decision: xPlaytest learns about ingestion completion by polling GET /v3/playtest/playtesttitleingestion/{jobId} on SAGE. There is no callback in v1.</w:t>
      </w:r>
    </w:p>
    <w:p>
      <w:pPr>
        <w:spacing w:after="120" w:before="0"/>
      </w:pPr>
      <w:r>
        <w:rPr>
          <w:b w:val="0"/>
          <w:i w:val="0"/>
          <w:sz w:val="21"/>
        </w:rPr>
        <w:t>Rationale: SAGE today is a request/response proxy with no callback/event-hub orchestration layer; adding one is out of summer scope. xPlaytest already polls inside its own workflow and can reuse that framework, and services.contentingestion already exposes job status through WorkflowsControllerV3 — SAGE just forwards.</w:t>
      </w:r>
    </w:p>
    <w:p>
      <w:pPr>
        <w:spacing w:before="160" w:after="60"/>
      </w:pPr>
      <w:r>
        <w:rPr>
          <w:b/>
          <w:sz w:val="23"/>
        </w:rPr>
        <w:t>Polling strategy (v1)</w:t>
      </w:r>
    </w:p>
    <w:p>
      <w:pPr>
        <w:pStyle w:val="ListBullet"/>
        <w:spacing w:after="60"/>
      </w:pPr>
      <w:r>
        <w:rPr>
          <w:b w:val="0"/>
          <w:i w:val="0"/>
        </w:rPr>
        <w:t xml:space="preserve">Capture and persist the returned </w:t>
      </w:r>
      <w:r>
        <w:rPr>
          <w:rFonts w:ascii="Consolas" w:hAnsi="Consolas"/>
          <w:b w:val="0"/>
          <w:i w:val="0"/>
        </w:rPr>
        <w:t>jobId</w:t>
      </w:r>
      <w:r>
        <w:rPr>
          <w:b w:val="0"/>
          <w:i w:val="0"/>
        </w:rPr>
        <w:t xml:space="preserve"> on PublishedPlaytestEntity as soon as the 202 comes back — this is the id xPlaytest polls.</w:t>
      </w:r>
    </w:p>
    <w:p>
      <w:pPr>
        <w:pStyle w:val="ListBullet"/>
        <w:spacing w:after="60"/>
      </w:pPr>
      <w:r>
        <w:rPr>
          <w:b w:val="0"/>
          <w:i w:val="0"/>
        </w:rPr>
        <w:t xml:space="preserve">Poll with </w:t>
      </w:r>
      <w:r>
        <w:rPr>
          <w:b w:val="0"/>
          <w:i w:val="0"/>
          <w:highlight w:val="yellow"/>
        </w:rPr>
        <w:t>infinite retry and no hard timeout in v1</w:t>
      </w:r>
      <w:r>
        <w:rPr>
          <w:b w:val="0"/>
          <w:i w:val="0"/>
        </w:rPr>
        <w:t xml:space="preserve"> (Brian: "assume infinite retry of polling for now"). The xCloud workflow can retry effectively forever and emits notifications for long-running jobs.</w:t>
      </w:r>
    </w:p>
    <w:p>
      <w:pPr>
        <w:pStyle w:val="ListBullet"/>
        <w:spacing w:after="60"/>
      </w:pPr>
      <w:r>
        <w:rPr>
          <w:b w:val="0"/>
          <w:i w:val="0"/>
        </w:rPr>
        <w:t xml:space="preserve">Hold the playtest in a </w:t>
      </w:r>
      <w:r>
        <w:rPr>
          <w:b w:val="0"/>
          <w:i/>
        </w:rPr>
        <w:t>"waiting for ingestion"</w:t>
      </w:r>
      <w:r>
        <w:rPr>
          <w:b w:val="0"/>
          <w:i w:val="0"/>
        </w:rPr>
        <w:t xml:space="preserve"> state until the workflow reaches a terminal state </w:t>
      </w:r>
      <w:r>
        <w:rPr>
          <w:b w:val="0"/>
          <w:i/>
        </w:rPr>
        <w:t>and</w:t>
      </w:r>
      <w:r>
        <w:rPr>
          <w:b w:val="0"/>
          <w:i w:val="0"/>
        </w:rPr>
        <w:t xml:space="preserve"> the offering is complete — mirroring how playtest handles waiting-for-ingestion today (David K). Note this is multi-poll coordination: asset ingestion and offering creation are separate workflows.</w:t>
      </w:r>
    </w:p>
    <w:p>
      <w:pPr>
        <w:pStyle w:val="ListBullet"/>
        <w:spacing w:after="60"/>
      </w:pPr>
      <w:r>
        <w:rPr>
          <w:b w:val="0"/>
          <w:i w:val="0"/>
        </w:rPr>
        <w:t xml:space="preserve">This polling waits on a </w:t>
      </w:r>
      <w:r>
        <w:rPr>
          <w:b/>
          <w:i w:val="0"/>
        </w:rPr>
        <w:t>manual Partner Registry PR approval</w:t>
      </w:r>
      <w:r>
        <w:rPr>
          <w:b w:val="0"/>
          <w:i w:val="0"/>
        </w:rPr>
        <w:t xml:space="preserve"> (SFI forbids self-approval), which a human may take up to ~48h to merge. That human-approval requirement is an accepted, documented v1 gap.</w:t>
      </w:r>
    </w:p>
    <w:p>
      <w:r>
        <w:rPr>
          <w:b/>
          <w:i w:val="0"/>
          <w:sz w:val="21"/>
        </w:rPr>
        <w:t xml:space="preserve">Deferred refinement (Next Steps, not v1): </w:t>
      </w:r>
      <w:r>
        <w:rPr>
          <w:b w:val="0"/>
          <w:i w:val="0"/>
          <w:sz w:val="21"/>
        </w:rPr>
        <w:t>foreground exponential backoff (e.g. 30s → 60s → 2m → 5m cap, ~60-min foreground wall clock), then a background reconciliation job that re-reads the persisted jobId and polls at a fixed interval up to a ~24h cap (above the server's ~14h max) before firing an operator alert for manual triage.</w:t>
      </w:r>
    </w:p>
    <w:p>
      <w:r>
        <w:rPr>
          <w:b/>
          <w:i w:val="0"/>
          <w:color w:val="B00000"/>
          <w:sz w:val="21"/>
        </w:rPr>
        <w:t xml:space="preserve">Cross-reference fix: </w:t>
      </w:r>
      <w:r>
        <w:rPr>
          <w:b w:val="0"/>
          <w:i w:val="0"/>
          <w:sz w:val="21"/>
        </w:rPr>
        <w:t>PT5 should reference §3.10 for the polling/backoff design, not §3.1.</w:t>
      </w:r>
    </w:p>
    <w:p>
      <w:pPr>
        <w:spacing w:before="200" w:after="40"/>
      </w:pPr>
      <w:r>
        <w:rPr>
          <w:b/>
          <w:color w:val="1E6B2F"/>
          <w:sz w:val="22"/>
        </w:rPr>
        <w:t>REDONE — §5.1  PlaytestIngestionJobParameters — add the two missing required fields</w:t>
      </w:r>
    </w:p>
    <w:p>
      <w:pPr>
        <w:spacing w:after="120" w:before="0"/>
      </w:pPr>
      <w:r>
        <w:rPr>
          <w:b w:val="0"/>
          <w:i w:val="0"/>
          <w:sz w:val="21"/>
        </w:rPr>
        <w:t>Add these two rows to the §5.1 table (they are required on the shipped sender and receiver contracts but are missing from Draft v2):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Type</w:t>
            </w:r>
          </w:p>
        </w:tc>
        <w:tc>
          <w:tcPr>
            <w:tcW w:type="dxa" w:w="1728"/>
          </w:tcPr>
          <w:p>
            <w:r>
              <w:rPr>
                <w:b/>
              </w:rPr>
              <w:t>Source on xPlaytest</w:t>
            </w:r>
          </w:p>
        </w:tc>
        <w:tc>
          <w:tcPr>
            <w:tcW w:type="dxa" w:w="1728"/>
          </w:tcPr>
          <w:p>
            <w:r>
              <w:rPr>
                <w:b/>
              </w:rPr>
              <w:t>Required</w:t>
            </w:r>
          </w:p>
        </w:tc>
        <w:tc>
          <w:tcPr>
            <w:tcW w:type="dxa" w:w="1728"/>
          </w:tcPr>
          <w:p>
            <w:r>
              <w:rPr>
                <w:b/>
              </w:rPr>
              <w:t>Notes</w:t>
            </w:r>
          </w:p>
        </w:tc>
      </w:tr>
      <w:tr>
        <w:tc>
          <w:tcPr>
            <w:tcW w:type="dxa" w:w="1728"/>
          </w:tcPr>
          <w:p>
            <w:r>
              <w:rPr>
                <w:rFonts w:ascii="Consolas" w:hAnsi="Consolas"/>
                <w:sz w:val="19"/>
              </w:rPr>
              <w:t>PartnerId</w:t>
            </w:r>
          </w:p>
        </w:tc>
        <w:tc>
          <w:tcPr>
            <w:tcW w:type="dxa" w:w="1728"/>
          </w:tcPr>
          <w:p>
            <w:r>
              <w:rPr>
                <w:sz w:val="19"/>
              </w:rPr>
              <w:t>string</w:t>
            </w:r>
          </w:p>
        </w:tc>
        <w:tc>
          <w:tcPr>
            <w:tcW w:type="dxa" w:w="1728"/>
          </w:tcPr>
          <w:p>
            <w:r>
              <w:rPr>
                <w:rFonts w:ascii="Consolas" w:hAnsi="Consolas"/>
                <w:sz w:val="19"/>
              </w:rPr>
              <w:t>PlaytestResponse.SellerId</w:t>
            </w:r>
          </w:p>
        </w:tc>
        <w:tc>
          <w:tcPr>
            <w:tcW w:type="dxa" w:w="1728"/>
          </w:tcPr>
          <w:p>
            <w:r>
              <w:rPr>
                <w:sz w:val="19"/>
              </w:rPr>
              <w:t>yes</w:t>
            </w:r>
          </w:p>
        </w:tc>
        <w:tc>
          <w:tcPr>
            <w:tcW w:type="dxa" w:w="1728"/>
          </w:tcPr>
          <w:p>
            <w:r>
              <w:rPr>
                <w:sz w:val="19"/>
                <w:highlight w:val="yellow"/>
              </w:rPr>
              <w:t>Offering owner, forwarded to Partner Registry. Supersedes §5.3 (which derived Id.Parse("PLAYTEST")). Code carries a TODO: SellerId vs PublisherId still to be confirmed with Partner Registry (see §9 Q4).</w:t>
            </w:r>
          </w:p>
        </w:tc>
      </w:tr>
      <w:tr>
        <w:tc>
          <w:tcPr>
            <w:tcW w:type="dxa" w:w="1728"/>
          </w:tcPr>
          <w:p>
            <w:r>
              <w:rPr>
                <w:rFonts w:ascii="Consolas" w:hAnsi="Consolas"/>
                <w:sz w:val="19"/>
              </w:rPr>
              <w:t>PlaytestProductId</w:t>
            </w:r>
          </w:p>
        </w:tc>
        <w:tc>
          <w:tcPr>
            <w:tcW w:type="dxa" w:w="1728"/>
          </w:tcPr>
          <w:p>
            <w:r>
              <w:rPr>
                <w:sz w:val="19"/>
              </w:rPr>
              <w:t>string</w:t>
            </w:r>
          </w:p>
        </w:tc>
        <w:tc>
          <w:tcPr>
            <w:tcW w:type="dxa" w:w="1728"/>
          </w:tcPr>
          <w:p>
            <w:r>
              <w:rPr>
                <w:rFonts w:ascii="Consolas" w:hAnsi="Consolas"/>
                <w:sz w:val="19"/>
              </w:rPr>
              <w:t>PlaytestGeneratedXProductBigId</w:t>
            </w:r>
          </w:p>
        </w:tc>
        <w:tc>
          <w:tcPr>
            <w:tcW w:type="dxa" w:w="1728"/>
          </w:tcPr>
          <w:p>
            <w:r>
              <w:rPr>
                <w:sz w:val="19"/>
              </w:rPr>
              <w:t>yes</w:t>
            </w:r>
          </w:p>
        </w:tc>
        <w:tc>
          <w:tcPr>
            <w:tcW w:type="dxa" w:w="1728"/>
          </w:tcPr>
          <w:p>
            <w:r>
              <w:rPr>
                <w:sz w:val="19"/>
                <w:highlight w:val="yellow"/>
              </w:rPr>
              <w:t>Stable product identity. Receiver builds the offering id as xpt{PlaytestProductId}, which must be stable across republishes (supersedes deriving the offering id from PlaytestId in §3.5/§3.7).</w:t>
            </w:r>
          </w:p>
        </w:tc>
      </w:tr>
    </w:tbl>
    <w:p>
      <w:pPr>
        <w:spacing w:after="120" w:before="0"/>
      </w:pPr>
      <w:r>
        <w:rPr>
          <w:b w:val="0"/>
          <w:i/>
          <w:sz w:val="20"/>
        </w:rPr>
        <w:t>Also adjust the existing AllowedSandboxId note: the receiver wraps each DNA group as XusAudience(g, AllowedSandboxId) and AllowedSandboxId defaults to "RETAIL".</w:t>
      </w:r>
    </w:p>
    <w:p>
      <w:pPr>
        <w:spacing w:before="200" w:after="40"/>
      </w:pPr>
      <w:r>
        <w:rPr>
          <w:b/>
          <w:color w:val="1E6B2F"/>
          <w:sz w:val="22"/>
        </w:rPr>
        <w:t>REDONE — §5.2  StoreAsset — fix Platform and Markets</w:t>
      </w:r>
    </w:p>
    <w:p>
      <w:pPr>
        <w:spacing w:after="120" w:before="0"/>
      </w:pPr>
      <w:r>
        <w:rPr>
          <w:b w:val="0"/>
          <w:i w:val="0"/>
          <w:sz w:val="21"/>
        </w:rPr>
        <w:t>Two field rows in §5.2 are wrong versus the shipped builder/receiver. Replace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Value (corrected)</w:t>
            </w:r>
          </w:p>
        </w:tc>
        <w:tc>
          <w:tcPr>
            <w:tcW w:type="dxa" w:w="2880"/>
          </w:tcPr>
          <w:p>
            <w:r>
              <w:rPr>
                <w:b/>
              </w:rPr>
              <w:t>Why</w:t>
            </w:r>
          </w:p>
        </w:tc>
      </w:tr>
      <w:tr>
        <w:tc>
          <w:tcPr>
            <w:tcW w:type="dxa" w:w="2880"/>
          </w:tcPr>
          <w:p>
            <w:r>
              <w:rPr>
                <w:rFonts w:ascii="Consolas" w:hAnsi="Consolas"/>
                <w:sz w:val="19"/>
              </w:rPr>
              <w:t>Platform</w:t>
            </w:r>
          </w:p>
        </w:tc>
        <w:tc>
          <w:tcPr>
            <w:tcW w:type="dxa" w:w="2880"/>
          </w:tcPr>
          <w:p>
            <w:r>
              <w:rPr>
                <w:rFonts w:ascii="Consolas" w:hAnsi="Consolas"/>
                <w:sz w:val="19"/>
                <w:highlight w:val="yellow"/>
              </w:rPr>
              <w:t>"PC" (ServerPlatform.PC)</w:t>
            </w:r>
          </w:p>
        </w:tc>
        <w:tc>
          <w:tcPr>
            <w:tcW w:type="dxa" w:w="2880"/>
          </w:tcPr>
          <w:p>
            <w:r>
              <w:rPr>
                <w:sz w:val="19"/>
              </w:rPr>
              <w:t>The receiver rejects anything but "PC" or "Xbox". xbet's internal constant is "WINDOWS.DESKTOP"; it MUST be mapped to "PC" before sending (or the receiver widened to accept WINDOWS.DESKTOP). Confirm the exact ServerPlatform.PC string in Services.Common.</w:t>
            </w:r>
          </w:p>
        </w:tc>
      </w:tr>
      <w:tr>
        <w:tc>
          <w:tcPr>
            <w:tcW w:type="dxa" w:w="2880"/>
          </w:tcPr>
          <w:p>
            <w:r>
              <w:rPr>
                <w:rFonts w:ascii="Consolas" w:hAnsi="Consolas"/>
                <w:sz w:val="19"/>
              </w:rPr>
              <w:t>Markets</w:t>
            </w:r>
          </w:p>
        </w:tc>
        <w:tc>
          <w:tcPr>
            <w:tcW w:type="dxa" w:w="2880"/>
          </w:tcPr>
          <w:p>
            <w:r>
              <w:rPr>
                <w:rFonts w:ascii="Consolas" w:hAnsi="Consolas"/>
                <w:sz w:val="19"/>
                <w:highlight w:val="yellow"/>
              </w:rPr>
              <w:t>PlaytestConstants.DefaultMarkets (~87 markets)</w:t>
            </w:r>
          </w:p>
        </w:tc>
        <w:tc>
          <w:tcPr>
            <w:tcW w:type="dxa" w:w="2880"/>
          </w:tcPr>
          <w:p>
            <w:r>
              <w:rPr>
                <w:sz w:val="19"/>
              </w:rPr>
              <w:t>The builder sends the full DefaultMarkets list, not single-market [US]. Update the spec to match, or deliberately narrow the constant if single-market was the intent for the playtest path.</w:t>
            </w:r>
          </w:p>
        </w:tc>
      </w:tr>
      <w:tr>
        <w:tc>
          <w:tcPr>
            <w:tcW w:type="dxa" w:w="2880"/>
          </w:tcPr>
          <w:p>
            <w:r>
              <w:rPr>
                <w:rFonts w:ascii="Consolas" w:hAnsi="Consolas"/>
                <w:sz w:val="19"/>
              </w:rPr>
              <w:t>ParentProductIds</w:t>
            </w:r>
          </w:p>
        </w:tc>
        <w:tc>
          <w:tcPr>
            <w:tcW w:type="dxa" w:w="2880"/>
          </w:tcPr>
          <w:p>
            <w:r>
              <w:rPr>
                <w:rFonts w:ascii="Consolas" w:hAnsi="Consolas"/>
                <w:sz w:val="19"/>
                <w:highlight w:val="yellow"/>
              </w:rPr>
              <w:t>[PlaytestResponse.PartnerCenterProductId]</w:t>
            </w:r>
          </w:p>
        </w:tc>
        <w:tc>
          <w:tcPr>
            <w:tcW w:type="dxa" w:w="2880"/>
          </w:tcPr>
          <w:p>
            <w:r>
              <w:rPr>
                <w:sz w:val="19"/>
              </w:rPr>
              <w:t>The builder traces the asset back to its source product rather than sending [] — update from the Draft v2 empty value.</w:t>
            </w:r>
          </w:p>
        </w:tc>
      </w:tr>
    </w:tbl>
    <w:p>
      <w:pPr>
        <w:spacing w:after="120" w:before="0"/>
      </w:pPr>
      <w:r>
        <w:rPr>
          <w:b w:val="0"/>
          <w:i/>
          <w:sz w:val="20"/>
        </w:rPr>
        <w:t>XboxTitleId / AumID rows stay, but note: XboxTitleId is caller-supplied (XORc path, §3.0) and AumID is a constant default "{PackageFamilyName}!App" for v1 (telemetry-only per Timi; real ApplicationId in v1.1).</w:t>
      </w:r>
    </w:p>
    <w:p>
      <w:pPr>
        <w:spacing w:before="200" w:after="40"/>
      </w:pPr>
      <w:r>
        <w:rPr>
          <w:b/>
          <w:color w:val="1E6B2F"/>
          <w:sz w:val="22"/>
        </w:rPr>
        <w:t>REDONE — §5.3  Derived inside the workflow — remove the stale PartnerId row</w:t>
      </w:r>
    </w:p>
    <w:p>
      <w:pPr>
        <w:pStyle w:val="ListBullet"/>
        <w:spacing w:after="60"/>
      </w:pPr>
      <w:r>
        <w:rPr>
          <w:b w:val="0"/>
          <w:i w:val="0"/>
        </w:rPr>
        <w:t xml:space="preserve">Delete the </w:t>
      </w:r>
      <w:r>
        <w:rPr>
          <w:rFonts w:ascii="Consolas" w:hAnsi="Consolas"/>
          <w:b w:val="0"/>
          <w:i w:val="0"/>
        </w:rPr>
        <w:t>PartnerId = Id.Parse("PLAYTEST")</w:t>
      </w:r>
      <w:r>
        <w:rPr>
          <w:b w:val="0"/>
          <w:i w:val="0"/>
          <w:highlight w:val="yellow"/>
        </w:rPr>
        <w:t xml:space="preserve"> row — PartnerId is now SENT by xPlaytest (= SellerId), see §5.1.</w:t>
      </w:r>
    </w:p>
    <w:p>
      <w:pPr>
        <w:pStyle w:val="ListBullet"/>
        <w:spacing w:after="60"/>
      </w:pPr>
      <w:r>
        <w:rPr>
          <w:b w:val="0"/>
          <w:i w:val="0"/>
        </w:rPr>
        <w:t xml:space="preserve">OfferingId: state it as </w:t>
      </w:r>
      <w:r>
        <w:rPr>
          <w:rFonts w:ascii="Consolas" w:hAnsi="Consolas"/>
          <w:b w:val="0"/>
          <w:i w:val="0"/>
        </w:rPr>
        <w:t>xpt{PlaytestProductId}</w:t>
      </w:r>
      <w:r>
        <w:rPr>
          <w:b w:val="0"/>
          <w:i w:val="0"/>
          <w:highlight w:val="yellow"/>
        </w:rPr>
        <w:t xml:space="preserve"> (stable product id), not xpt-{ToShortId(PlaytestId)}.</w:t>
      </w:r>
    </w:p>
    <w:p>
      <w:pPr>
        <w:pStyle w:val="ListBullet"/>
        <w:spacing w:after="60"/>
      </w:pPr>
      <w:r>
        <w:rPr>
          <w:b w:val="0"/>
          <w:i w:val="0"/>
        </w:rPr>
        <w:t>Keep: TitleId, SourceId = StoreAsset.ContentId, Audiences = AllowedDnaGroups.Select(g =&gt; new XusAudience(g, AllowedSandboxId)), AssetId (from AssetIngestionWorkflow), and the lex-smallest-GUID effective flight id (§3.3).</w:t>
      </w:r>
    </w:p>
    <w:p>
      <w:pPr>
        <w:spacing w:before="200" w:after="40"/>
      </w:pPr>
      <w:r>
        <w:rPr>
          <w:b/>
          <w:color w:val="1E6B2F"/>
          <w:sz w:val="22"/>
        </w:rPr>
        <w:t>REDONE — §6.2 / §6.2.1  Status vocabulary + DELETE teardown</w:t>
      </w:r>
    </w:p>
    <w:p>
      <w:pPr>
        <w:spacing w:before="160" w:after="60"/>
      </w:pPr>
      <w:r>
        <w:rPr>
          <w:b/>
          <w:sz w:val="23"/>
        </w:rPr>
        <w:t>§6.2 GET status — reconcile the status vocabulary</w:t>
      </w:r>
    </w:p>
    <w:p>
      <w:pPr>
        <w:spacing w:after="120" w:before="0"/>
      </w:pPr>
      <w:r>
        <w:rPr>
          <w:b w:val="0"/>
          <w:i w:val="0"/>
          <w:sz w:val="21"/>
        </w:rPr>
        <w:t>The controller returns OperationStatus (defined in a shared common package), not the named set {Running, Streamable, Failed, InstallNotFound}. Job success is signalled by OfferingId != null; the "install not found" path is a fallback stage (NotifyInstallNotFoundAsync). State the response as OperationStatus and map: success ⇔ OfferingId present; in-progress ⇔ non-terminal; failure / install-not-found ⇔ the corresponding terminal/fallback state.</w:t>
      </w:r>
    </w:p>
    <w:p>
      <w:pPr>
        <w:spacing w:before="160" w:after="60"/>
      </w:pPr>
      <w:r>
        <w:rPr>
          <w:b/>
          <w:sz w:val="23"/>
        </w:rPr>
        <w:t>§6.2.1 DELETE …/by-playtest/{playtestId} — tombstone + GC, and not yet implemented</w:t>
      </w:r>
    </w:p>
    <w:p>
      <w:r>
        <w:rPr>
          <w:b/>
          <w:i w:val="0"/>
          <w:color w:val="B00000"/>
          <w:sz w:val="21"/>
        </w:rPr>
        <w:t xml:space="preserve">Status: </w:t>
      </w:r>
      <w:r>
        <w:rPr>
          <w:b w:val="0"/>
          <w:i w:val="0"/>
          <w:sz w:val="21"/>
          <w:highlight w:val="yellow"/>
        </w:rPr>
        <w:t>this route is advertised in the OpenAPI but is implemented in no running surface (absent from SAGE route config and the receiver controller). PT6 teardown depends on it. Either build it (XC1/XC3) or remove it from the published contract until then.</w:t>
      </w:r>
    </w:p>
    <w:p>
      <w:pPr>
        <w:spacing w:after="120" w:before="0"/>
      </w:pPr>
      <w:r>
        <w:rPr>
          <w:b w:val="0"/>
          <w:i w:val="0"/>
          <w:sz w:val="21"/>
        </w:rPr>
        <w:t>v1 delete model (when implemented): tombstone + GC.</w:t>
      </w:r>
    </w:p>
    <w:p>
      <w:pPr>
        <w:pStyle w:val="ListBullet"/>
        <w:spacing w:after="60"/>
      </w:pPr>
      <w:r>
        <w:rPr>
          <w:b w:val="0"/>
          <w:i w:val="0"/>
        </w:rPr>
        <w:t>Tombstone immediately: set offering.PlayerAuthorizationOptions.AllowedDnaGroups = [] — this denies everyone at once, so testers lose access right away and the offering drops out of the DevApi listing.</w:t>
      </w:r>
    </w:p>
    <w:p>
      <w:pPr>
        <w:pStyle w:val="ListBullet"/>
        <w:spacing w:after="60"/>
      </w:pPr>
      <w:r>
        <w:rPr>
          <w:b w:val="0"/>
          <w:i w:val="0"/>
          <w:highlight w:val="yellow"/>
        </w:rPr>
        <w:t>Schedule a GC pass that fully deletes the offering and its asset entries after a grace period (default 7 days).</w:t>
      </w:r>
    </w:p>
    <w:p>
      <w:pPr>
        <w:pStyle w:val="ListBullet"/>
        <w:spacing w:after="60"/>
      </w:pPr>
      <w:r>
        <w:rPr>
          <w:b w:val="0"/>
          <w:i w:val="0"/>
        </w:rPr>
        <w:t>Idempotent: re-deleting an already-tombstoned offering returns 200; 404 if the playtest was never ingested.</w:t>
      </w:r>
    </w:p>
    <w:p>
      <w:pPr>
        <w:pStyle w:val="ListBullet"/>
        <w:spacing w:after="60"/>
      </w:pPr>
      <w:r>
        <w:rPr>
          <w:b w:val="0"/>
          <w:i w:val="0"/>
        </w:rPr>
        <w:t>Needs explicit xCloud sign-off — tombstone + GC deviates from a literal synchronous hard delete (not achievable in v1 because Partner Registry writes are manual-approval ADO PRs).</w:t>
      </w:r>
    </w:p>
    <w:p>
      <w:pPr>
        <w:spacing w:before="200" w:after="40"/>
      </w:pPr>
      <w:r>
        <w:rPr>
          <w:b/>
          <w:color w:val="1E6B2F"/>
          <w:sz w:val="22"/>
        </w:rPr>
        <w:t>REDONE — §7  Known Blockers (updated statuses)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Blocker</w:t>
            </w:r>
          </w:p>
        </w:tc>
        <w:tc>
          <w:tcPr>
            <w:tcW w:type="dxa" w:w="2160"/>
          </w:tcPr>
          <w:p>
            <w:r>
              <w:rPr>
                <w:b/>
              </w:rPr>
              <w:t>Status</w:t>
            </w:r>
          </w:p>
        </w:tc>
        <w:tc>
          <w:tcPr>
            <w:tcW w:type="dxa" w:w="2160"/>
          </w:tcPr>
          <w:p>
            <w:r>
              <w:rPr>
                <w:b/>
              </w:rPr>
              <w:t>Problem</w:t>
            </w:r>
          </w:p>
        </w:tc>
        <w:tc>
          <w:tcPr>
            <w:tcW w:type="dxa" w:w="2160"/>
          </w:tcPr>
          <w:p>
            <w:r>
              <w:rPr>
                <w:b/>
              </w:rPr>
              <w:t>Current direction</w:t>
            </w:r>
          </w:p>
        </w:tc>
      </w:tr>
      <w:tr>
        <w:tc>
          <w:tcPr>
            <w:tcW w:type="dxa" w:w="2160"/>
          </w:tcPr>
          <w:p>
            <w:r>
              <w:rPr>
                <w:b/>
                <w:sz w:val="18"/>
              </w:rPr>
              <w:t>Cross-tenant S2S</w:t>
            </w:r>
          </w:p>
        </w:tc>
        <w:tc>
          <w:tcPr>
            <w:tcW w:type="dxa" w:w="2160"/>
          </w:tcPr>
          <w:p>
            <w:r>
              <w:rPr>
                <w:b/>
                <w:color w:val="B00000"/>
                <w:sz w:val="18"/>
              </w:rPr>
              <w:t>Deferred (demo in-tenant)</w:t>
            </w:r>
          </w:p>
        </w:tc>
        <w:tc>
          <w:tcPr>
            <w:tcW w:type="dxa" w:w="2160"/>
          </w:tcPr>
          <w:p>
            <w:r>
              <w:rPr>
                <w:sz w:val="18"/>
              </w:rPr>
              <w:t>Playtest Service runs in MSFTGreen; SAGE does not accept MSFTGreen callers out of the box.</w:t>
            </w:r>
          </w:p>
        </w:tc>
        <w:tc>
          <w:tcPr>
            <w:tcW w:type="dxa" w:w="2160"/>
          </w:tcPr>
          <w:p>
            <w:r>
              <w:rPr>
                <w:sz w:val="18"/>
              </w:rPr>
              <w:t>Deferred out of summer scope — the foundational demo runs IN-TENANT. Short-term scheme is Green→Corp, but VERIFY the cited PR id/direction (PR #15715445 looked inverted) and note the SAGE playtest route currently sets AuthorizedClientAppIds but NO auth-scheme flag (peers use UsePmeAuth: true), so XC2 isn't actually wired yet. Long term: xCloud migrates to PME (GSS platform team owns it).</w:t>
            </w:r>
          </w:p>
        </w:tc>
      </w:tr>
      <w:tr>
        <w:tc>
          <w:tcPr>
            <w:tcW w:type="dxa" w:w="2160"/>
          </w:tcPr>
          <w:p>
            <w:r>
              <w:rPr>
                <w:b/>
                <w:sz w:val="18"/>
              </w:rPr>
              <w:t>Partner Registry PR approvals</w:t>
            </w:r>
          </w:p>
        </w:tc>
        <w:tc>
          <w:tcPr>
            <w:tcW w:type="dxa" w:w="2160"/>
          </w:tcPr>
          <w:p>
            <w:r>
              <w:rPr>
                <w:b/>
                <w:color w:val="B00000"/>
                <w:sz w:val="18"/>
              </w:rPr>
              <w:t>Open (accepted v1 gap)</w:t>
            </w:r>
          </w:p>
        </w:tc>
        <w:tc>
          <w:tcPr>
            <w:tcW w:type="dxa" w:w="2160"/>
          </w:tcPr>
          <w:p>
            <w:r>
              <w:rPr>
                <w:sz w:val="18"/>
              </w:rPr>
              <w:t>Every Partner Registry write is an ADO PR; SFI forbids self-approval. Naïve flow = 2 blocking PRs per publish.</w:t>
            </w:r>
          </w:p>
        </w:tc>
        <w:tc>
          <w:tcPr>
            <w:tcW w:type="dxa" w:w="2160"/>
          </w:tcPr>
          <w:p>
            <w:r>
              <w:rPr>
                <w:sz w:val="18"/>
              </w:rPr>
              <w:t>Combine offering write + title attach into ONE PR via BulkEditAsync (shipped). Accept manual out-of-band approval during the internship (a human may take up to ~48h); document the human-approval requirement prominently. Long-term automation needs an SFI exception.</w:t>
            </w:r>
          </w:p>
        </w:tc>
      </w:tr>
      <w:tr>
        <w:tc>
          <w:tcPr>
            <w:tcW w:type="dxa" w:w="2160"/>
          </w:tcPr>
          <w:p>
            <w:r>
              <w:rPr>
                <w:b/>
                <w:sz w:val="18"/>
              </w:rPr>
              <w:t>XboxTitleId source</w:t>
            </w:r>
          </w:p>
        </w:tc>
        <w:tc>
          <w:tcPr>
            <w:tcW w:type="dxa" w:w="2160"/>
          </w:tcPr>
          <w:p>
            <w:r>
              <w:rPr>
                <w:b/>
                <w:color w:val="B00000"/>
                <w:sz w:val="18"/>
              </w:rPr>
              <w:t>Open — P0</w:t>
            </w:r>
          </w:p>
        </w:tc>
        <w:tc>
          <w:tcPr>
            <w:tcW w:type="dxa" w:w="2160"/>
          </w:tcPr>
          <w:p>
            <w:r>
              <w:rPr>
                <w:sz w:val="18"/>
              </w:rPr>
              <w:t>PlaytestProductDocumentBuilder hardcodes empty; validator rejects null/0 for games; the builder requires a caller-supplied nonzero value.</w:t>
            </w:r>
          </w:p>
        </w:tc>
        <w:tc>
          <w:tcPr>
            <w:tcW w:type="dxa" w:w="2160"/>
          </w:tcPr>
          <w:p>
            <w:r>
              <w:rPr>
                <w:sz w:val="18"/>
              </w:rPr>
              <w:t>Resolve via the XORc service-config read API (Xbox Live service config from XCon). The read API exists; the Title ID field must be ADDED to it, then a resolver wired into the publish path. Owner: Melanie Chen + Anthony/XCon-XORc team. (Supersedes the earlier alternateIds[idType=XboxTitleId] approach.)</w:t>
            </w:r>
          </w:p>
        </w:tc>
      </w:tr>
      <w:tr>
        <w:tc>
          <w:tcPr>
            <w:tcW w:type="dxa" w:w="2160"/>
          </w:tcPr>
          <w:p>
            <w:r>
              <w:rPr>
                <w:b/>
                <w:sz w:val="18"/>
              </w:rPr>
              <w:t>AumID for PC</w:t>
            </w:r>
          </w:p>
        </w:tc>
        <w:tc>
          <w:tcPr>
            <w:tcW w:type="dxa" w:w="2160"/>
          </w:tcPr>
          <w:p>
            <w:r>
              <w:rPr>
                <w:b/>
                <w:color w:val="1E6B2F"/>
                <w:sz w:val="18"/>
              </w:rPr>
              <w:t>Resolved for v1</w:t>
            </w:r>
          </w:p>
        </w:tc>
        <w:tc>
          <w:tcPr>
            <w:tcW w:type="dxa" w:w="2160"/>
          </w:tcPr>
          <w:p>
            <w:r>
              <w:rPr>
                <w:sz w:val="18"/>
              </w:rPr>
              <w:t>Validator rejects null AumID on PC games; the real ApplicationId is not propagated into the publish path.</w:t>
            </w:r>
          </w:p>
        </w:tc>
        <w:tc>
          <w:tcPr>
            <w:tcW w:type="dxa" w:w="2160"/>
          </w:tcPr>
          <w:p>
            <w:r>
              <w:rPr>
                <w:sz w:val="18"/>
              </w:rPr>
              <w:t>v1: ship a constant default — Timi confirmed it is telemetry-only server-side, so a placeholder is safe. v1.1: plumb the real ApplicationId from the AppX manifest.</w:t>
            </w:r>
          </w:p>
        </w:tc>
      </w:tr>
      <w:tr>
        <w:tc>
          <w:tcPr>
            <w:tcW w:type="dxa" w:w="2160"/>
          </w:tcPr>
          <w:p>
            <w:r>
              <w:rPr>
                <w:b/>
                <w:sz w:val="18"/>
              </w:rPr>
              <w:t>PC install-readiness poll</w:t>
            </w:r>
          </w:p>
        </w:tc>
        <w:tc>
          <w:tcPr>
            <w:tcW w:type="dxa" w:w="2160"/>
          </w:tcPr>
          <w:p>
            <w:r>
              <w:rPr>
                <w:b/>
                <w:color w:val="B00000"/>
                <w:sz w:val="18"/>
              </w:rPr>
              <w:t>Open — path identified</w:t>
            </w:r>
          </w:p>
        </w:tc>
        <w:tc>
          <w:tcPr>
            <w:tcW w:type="dxa" w:w="2160"/>
          </w:tcPr>
          <w:p>
            <w:r>
              <w:rPr>
                <w:sz w:val="18"/>
              </w:rPr>
              <w:t>TitleIngestionWorker.PollFirstInstallAsync hardcodes Xbox-only allocator params (ServerType.XboxV3SeriesS, XBOX_* pools); no PC readiness signal today.</w:t>
            </w:r>
          </w:p>
        </w:tc>
        <w:tc>
          <w:tcPr>
            <w:tcW w:type="dxa" w:w="2160"/>
          </w:tcPr>
          <w:p>
            <w:r>
              <w:rPr>
                <w:sz w:val="18"/>
              </w:rPr>
              <w:t>v1 short-circuits (treat a PC title as ready once the offering is configured; TODO for a real check). A PC server-query API already exists (likely services.pcservices) — attaching the title to the offering triggers the install, then poll that API. Fork ServerFilter/poll on Platform == PC.</w:t>
            </w:r>
          </w:p>
        </w:tc>
      </w:tr>
    </w:tbl>
    <w:p>
      <w:pPr>
        <w:spacing w:before="200" w:after="40"/>
      </w:pPr>
      <w:r>
        <w:rPr>
          <w:b/>
          <w:color w:val="1E6B2F"/>
          <w:sz w:val="22"/>
        </w:rPr>
        <w:t>REDONE — §8  Resolved Decisions  (was empty)</w:t>
      </w:r>
    </w:p>
    <w:p>
      <w:pPr>
        <w:pStyle w:val="ListBullet"/>
        <w:spacing w:after="60"/>
      </w:pPr>
      <w:r>
        <w:t>xCloud does not read XProduct directly. xPlaytest assembles the full StoreAsset in the payload; the receiver consumes it through a playtest-specific path with no Big Cat lookup (validate-then-ingest).</w:t>
      </w:r>
    </w:p>
    <w:p>
      <w:pPr>
        <w:pStyle w:val="ListBullet"/>
        <w:spacing w:after="60"/>
      </w:pPr>
      <w:r>
        <w:t>Offerings are created only on publish, from within XPackageWorkflow after PublishPlaytest hands off — not on every package upload.</w:t>
      </w:r>
    </w:p>
    <w:p>
      <w:pPr>
        <w:pStyle w:val="ListBullet"/>
        <w:spacing w:after="60"/>
      </w:pPr>
      <w:r>
        <w:t>All playtests use the RETAIL sandbox (default constant).</w:t>
      </w:r>
    </w:p>
    <w:p>
      <w:pPr>
        <w:pStyle w:val="ListBullet"/>
        <w:spacing w:after="60"/>
      </w:pPr>
      <w:r>
        <w:t>The offering identity key is the stable product id (xpt{PlaytestProductId}), not the per-snapshot PublishedPlaytestId — corroborated by the receiver contract and the Partner Registry "centralize playtest offering id / package source id" change.</w:t>
      </w:r>
    </w:p>
    <w:p>
      <w:pPr>
        <w:pStyle w:val="ListBullet"/>
        <w:spacing w:after="60"/>
      </w:pPr>
      <w:r>
        <w:t>AumID is a constant default for v1 (telemetry-only server-side, per Timi); real ApplicationId is a v1.1 follow-up.</w:t>
      </w:r>
    </w:p>
    <w:p>
      <w:pPr>
        <w:pStyle w:val="ListBullet"/>
        <w:spacing w:after="60"/>
      </w:pPr>
      <w:r>
        <w:t>Offering + title are written in a single ADO PR via BulkEditAsync (offering first so it exists before the title that references it).</w:t>
      </w:r>
    </w:p>
    <w:p>
      <w:pPr>
        <w:spacing w:before="200" w:after="40"/>
      </w:pPr>
      <w:r>
        <w:rPr>
          <w:b/>
          <w:color w:val="1E6B2F"/>
          <w:sz w:val="22"/>
        </w:rPr>
        <w:t>REDONE — §9  Open Questions &amp; Recommendations  (was empty)</w:t>
      </w:r>
    </w:p>
    <w:p>
      <w:pPr>
        <w:pStyle w:val="ListBullet"/>
        <w:spacing w:after="60"/>
      </w:pPr>
      <w:r>
        <w:rPr>
          <w:b/>
        </w:rPr>
        <w:t xml:space="preserve">Q1 Terminal-state delivery — </w:t>
      </w:r>
      <w:r>
        <w:t>Poll for v1 (§3.10); add a CallbackUrl-driven signal in v1.1 once cross-tenant messaging exists.</w:t>
      </w:r>
    </w:p>
    <w:p>
      <w:pPr>
        <w:pStyle w:val="ListBullet"/>
        <w:spacing w:after="60"/>
      </w:pPr>
      <w:r>
        <w:rPr>
          <w:b/>
        </w:rPr>
        <w:t xml:space="preserve">Q2 Canonical offering key — </w:t>
      </w:r>
      <w:r>
        <w:t>Use the stable product id (now codified in §8 / §5.1).</w:t>
      </w:r>
    </w:p>
    <w:p>
      <w:pPr>
        <w:pStyle w:val="ListBullet"/>
        <w:spacing w:after="60"/>
      </w:pPr>
      <w:r>
        <w:rPr>
          <w:b/>
        </w:rPr>
        <w:t xml:space="preserve">Q3 End-date default &amp; cap — </w:t>
      </w:r>
      <w:r>
        <w:t>90-day pre-fill in Partner Center; no hard cap; soft warning at 180d. (Referenced by §5.1 and the UI next-steps.)</w:t>
      </w:r>
    </w:p>
    <w:p>
      <w:pPr>
        <w:pStyle w:val="ListBullet"/>
        <w:spacing w:after="60"/>
      </w:pPr>
      <w:r>
        <w:rPr>
          <w:b/>
        </w:rPr>
        <w:t xml:space="preserve">Q4 PartnerId value — </w:t>
      </w:r>
      <w:r>
        <w:t>SellerId vs PublisherId vs "PLAYTEST": shipped code uses SellerId with a TODO — needs Partner Registry confirmation.</w:t>
      </w:r>
    </w:p>
    <w:p>
      <w:pPr>
        <w:pStyle w:val="ListBullet"/>
        <w:spacing w:after="60"/>
      </w:pPr>
      <w:r>
        <w:rPr>
          <w:b/>
        </w:rPr>
        <w:t xml:space="preserve">Q5 PC install-pool params — </w:t>
      </w:r>
      <w:r>
        <w:t>v1 skips the PC install poll (offering-config gates readiness); confirm the real PC readiness check / server-query API and inputs.</w:t>
      </w:r>
    </w:p>
    <w:p>
      <w:pPr>
        <w:pStyle w:val="ListBullet"/>
        <w:spacing w:after="60"/>
      </w:pPr>
      <w:r>
        <w:rPr>
          <w:b/>
        </w:rPr>
        <w:t xml:space="preserve">Q6 Seller audience-groups API — </w:t>
      </w:r>
      <w:r>
        <w:t>Adopt Brian's GetGroupsBySellerAsync for a DNA-group picker and for catalog clustering.</w:t>
      </w:r>
    </w:p>
    <w:p>
      <w:pPr>
        <w:pStyle w:val="ListBullet"/>
        <w:spacing w:after="60"/>
      </w:pPr>
      <w:r>
        <w:rPr>
          <w:b/>
        </w:rPr>
        <w:t xml:space="preserve">Q7 Platform contract — </w:t>
      </w:r>
      <w:r>
        <w:t>Resolve the WINDOWS.DESKTOP vs "PC" mismatch (map in xbet, or widen the receiver).</w:t>
      </w:r>
    </w:p>
    <w:p>
      <w:pPr>
        <w:pStyle w:val="ListBullet"/>
        <w:spacing w:after="60"/>
      </w:pPr>
      <w:r>
        <w:rPr>
          <w:b/>
        </w:rPr>
        <w:t xml:space="preserve">Q8 Cross-tenant wiring — </w:t>
      </w:r>
      <w:r>
        <w:t>Verify the cross-tenant PR id/direction and set the correct SAGE auth-scheme flag on the playtest route (currently missing).</w:t>
      </w:r>
    </w:p>
    <w:p>
      <w:pPr>
        <w:spacing w:before="200" w:after="40"/>
      </w:pPr>
      <w:r>
        <w:rPr>
          <w:b/>
          <w:color w:val="1E6B2F"/>
          <w:sz w:val="22"/>
        </w:rPr>
        <w:t>REDONE — §10  Success Criteria (P0)  (was empty)</w:t>
      </w:r>
    </w:p>
    <w:p>
      <w:pPr>
        <w:pStyle w:val="ListBullet"/>
        <w:spacing w:after="60"/>
      </w:pPr>
      <w:r>
        <w:t>Publishing a playtest with Cloud Streaming enabled auto-triggers xCloud ingestion (on publish only).</w:t>
      </w:r>
    </w:p>
    <w:p>
      <w:pPr>
        <w:pStyle w:val="ListBullet"/>
        <w:spacing w:after="60"/>
      </w:pPr>
      <w:r>
        <w:t>A private offering is created within seconds, gated by AllowedDnaGroups, and is visible in DevApi Reader.</w:t>
      </w:r>
    </w:p>
    <w:p>
      <w:pPr>
        <w:pStyle w:val="ListBullet"/>
        <w:spacing w:after="60"/>
      </w:pPr>
      <w:r>
        <w:t>The offering contains exactly one title bound to the playtest product identity.</w:t>
      </w:r>
    </w:p>
    <w:p>
      <w:pPr>
        <w:pStyle w:val="ListBullet"/>
        <w:spacing w:after="60"/>
      </w:pPr>
      <w:r>
        <w:t>Authorized testers can launch and stream via the shareable URL.</w:t>
      </w:r>
    </w:p>
    <w:p>
      <w:pPr>
        <w:pStyle w:val="ListBullet"/>
        <w:spacing w:after="60"/>
      </w:pPr>
      <w:r>
        <w:t>Audience / lifecycle changes propagate (audience, expiry, republish, delete).</w:t>
      </w:r>
    </w:p>
    <w:p>
      <w:pPr>
        <w:pStyle w:val="ListBullet"/>
        <w:spacing w:after="60"/>
      </w:pPr>
      <w:r>
        <w:t>Unauthorized users learn nothing — blocked cleanly with no metadata leak (Bayside path).</w:t>
      </w:r>
    </w:p>
    <w:p>
      <w:pPr>
        <w:pStyle w:val="ListBullet"/>
        <w:spacing w:after="60"/>
      </w:pPr>
      <w:r>
        <w:t>A new build is ingested and the offering re-pointed within minutes of upload.</w:t>
      </w:r>
    </w:p>
    <w:p>
      <w:pPr>
        <w:pStyle w:val="ListBullet"/>
        <w:spacing w:after="60"/>
      </w:pPr>
      <w:r>
        <w:t>Offering creation can be limited to an allow-list of sellers/titles for internal testing (ECS feature flag).</w:t>
      </w:r>
    </w:p>
    <w:p>
      <w:pPr>
        <w:spacing w:before="320" w:after="120"/>
        <w:pBdr>
          <w:bottom w:val="single" w:sz="6" w:space="2" w:color="1F4E79"/>
        </w:pBdr>
      </w:pPr>
      <w:r>
        <w:rPr>
          <w:b/>
          <w:color w:val="1F4E79"/>
          <w:sz w:val="32"/>
        </w:rPr>
        <w:t>Part C — Next Steps, grouped by theme</w:t>
      </w:r>
    </w:p>
    <w:p>
      <w:pPr>
        <w:spacing w:after="120" w:before="0"/>
      </w:pPr>
      <w:r>
        <w:rPr>
          <w:b w:val="0"/>
          <w:i w:val="0"/>
          <w:sz w:val="20"/>
        </w:rPr>
        <w:t>Reorganized from the old §12 plus the open future-plan threads from the syncs. Each theme lists the work and the dependency/owner where known.</w:t>
      </w:r>
    </w:p>
    <w:p>
      <w:pPr>
        <w:spacing w:before="240" w:after="80"/>
      </w:pPr>
      <w:r>
        <w:rPr>
          <w:b/>
          <w:color w:val="1F4E79"/>
          <w:sz w:val="26"/>
        </w:rPr>
        <w:t>1. UI for developers — Partner Center / Edgewater (publish side)</w:t>
      </w:r>
    </w:p>
    <w:p>
      <w:pPr>
        <w:pStyle w:val="ListBullet"/>
        <w:spacing w:after="60"/>
      </w:pPr>
      <w:r>
        <w:t>Add the "Enable Cloud Streaming" checkbox, enabled only for Xbox Live–configured titles (resolvable XboxTitleId).</w:t>
      </w:r>
    </w:p>
    <w:p>
      <w:pPr>
        <w:pStyle w:val="ListBullet"/>
        <w:spacing w:after="60"/>
      </w:pPr>
      <w:r>
        <w:t>Forced end-date picker, pre-filled to 90 days (no hard cap; soft warning at 180d — §9 Q3), since streaming playtests must carry an explicit end date.</w:t>
      </w:r>
    </w:p>
    <w:p>
      <w:pPr>
        <w:pStyle w:val="ListBullet"/>
        <w:spacing w:after="60"/>
      </w:pPr>
      <w:r>
        <w:t>DNA-group picker instead of raw GUID entry — backed by Brian's GetGroupsBySellerAsync (seller audience groups).</w:t>
      </w:r>
    </w:p>
    <w:p>
      <w:pPr>
        <w:pStyle w:val="ListBullet"/>
        <w:spacing w:after="60"/>
      </w:pPr>
      <w:r>
        <w:t>Later: region selection UI so the creator picks the regions the offering installs into (see Rollout/region below).</w:t>
      </w:r>
    </w:p>
    <w:p>
      <w:pPr>
        <w:spacing w:before="240" w:after="80"/>
      </w:pPr>
      <w:r>
        <w:rPr>
          <w:b/>
          <w:color w:val="1F4E79"/>
          <w:sz w:val="26"/>
        </w:rPr>
        <w:t>2. UI for players — Bayside / Edgewater (streaming/consumption side)</w:t>
      </w:r>
    </w:p>
    <w:p>
      <w:pPr>
        <w:pStyle w:val="ListBullet"/>
        <w:spacing w:after="60"/>
      </w:pPr>
      <w:r>
        <w:t>Wire the launch URL into the Bayside offering-access path so an authenticated tester who clicks the link drops straight into the playtest with no separate sign-in friction.</w:t>
      </w:r>
    </w:p>
    <w:p>
      <w:pPr>
        <w:pStyle w:val="ListBullet"/>
        <w:spacing w:after="60"/>
      </w:pPr>
      <w:r>
        <w:t>Have GSSV return the set of playtest offerings a signed-in user is entitled to, so the frontend can show "playtests available to you" instead of requiring a shared link. Depends on the offering-level DNA-group auth model (§3.2) + a discovery query over private offerings.</w:t>
      </w:r>
    </w:p>
    <w:p>
      <w:pPr>
        <w:pStyle w:val="ListBullet"/>
        <w:spacing w:after="60"/>
      </w:pPr>
      <w:r>
        <w:t>Status accuracy / no-404: today status is only ~85–90% accurate because XProduct is async (no post-back "done" signal), so a tester clicking a deep link too early can hit a 404. Gate the StreamingReady transition on BOTH the terminal ingestion poll AND offering completion; pursue an XProduct post-back signal + latency telemetry.</w:t>
      </w:r>
    </w:p>
    <w:p>
      <w:pPr>
        <w:spacing w:before="240" w:after="80"/>
      </w:pPr>
      <w:r>
        <w:rPr>
          <w:b/>
          <w:color w:val="1F4E79"/>
          <w:sz w:val="26"/>
        </w:rPr>
        <w:t>3. Future console support (Garrison / Bastion)</w:t>
      </w:r>
    </w:p>
    <w:p>
      <w:pPr>
        <w:pStyle w:val="ListBullet"/>
        <w:spacing w:after="60"/>
      </w:pPr>
      <w:r>
        <w:t>Extend from PC-only to Xbox console: Xbox-specific Title ID + package handling, and a console fork of the install-poll path (console pools / ServerType — the inverse of the PC fork).</w:t>
      </w:r>
    </w:p>
    <w:p>
      <w:pPr>
        <w:pStyle w:val="ListBullet"/>
        <w:spacing w:after="60"/>
      </w:pPr>
      <w:r>
        <w:t>Also covers launch arguments, region / touch-control configuration, and in-stream feedback collection (project P3).</w:t>
      </w:r>
    </w:p>
    <w:p>
      <w:pPr>
        <w:pStyle w:val="ListBullet"/>
        <w:spacing w:after="60"/>
      </w:pPr>
      <w:r>
        <w:t>Demo question (David K): "by demo time we might have the beginnings of console support — what is the cost to migrate the PC streaming playtest flow to console?" Be ready to answer the migration-cost delta.</w:t>
      </w:r>
    </w:p>
    <w:p>
      <w:pPr>
        <w:spacing w:before="240" w:after="80"/>
      </w:pPr>
      <w:r>
        <w:rPr>
          <w:b/>
          <w:color w:val="1F4E79"/>
          <w:sz w:val="26"/>
        </w:rPr>
        <w:t>4. Authorization &amp; PR-approval automation</w:t>
      </w:r>
    </w:p>
    <w:p>
      <w:pPr>
        <w:pStyle w:val="ListBullet"/>
        <w:spacing w:after="60"/>
      </w:pPr>
      <w:r>
        <w:t>Automated pre-approval via parent product ID: if the ingestion payload carries the parent product ID, an automated approver can match and gate auto-approval on it, removing the manual ADO round-trip. Requires an SFI exception (GSS's call).</w:t>
      </w:r>
    </w:p>
    <w:p>
      <w:pPr>
        <w:spacing w:before="240" w:after="80"/>
      </w:pPr>
      <w:r>
        <w:rPr>
          <w:b/>
          <w:color w:val="1F4E79"/>
          <w:sz w:val="26"/>
        </w:rPr>
        <w:t>5. Cross-tenant identity &amp; PME migration</w:t>
      </w:r>
    </w:p>
    <w:p>
      <w:pPr>
        <w:pStyle w:val="ListBullet"/>
        <w:spacing w:after="60"/>
      </w:pPr>
      <w:r>
        <w:t>v1 demo runs in-tenant; the short-term Green→Corp scheme needs its PR id/direction verified and the SAGE auth-scheme flag set.</w:t>
      </w:r>
    </w:p>
    <w:p>
      <w:pPr>
        <w:pStyle w:val="ListBullet"/>
        <w:spacing w:after="60"/>
      </w:pPr>
      <w:r>
        <w:t>Once xCloud finishes migrating to PME (target ~Aug 2026), design and implement Green → PME cross-tenant auth (likely a Corp/PME proxy, mirroring the Greenbelt pattern). Owned by the GSS platform team.</w:t>
      </w:r>
    </w:p>
    <w:p>
      <w:pPr>
        <w:spacing w:before="240" w:after="80"/>
      </w:pPr>
      <w:r>
        <w:rPr>
          <w:b/>
          <w:color w:val="1F4E79"/>
          <w:sz w:val="26"/>
        </w:rPr>
        <w:t>6. Completion delivery — callbacks over polling + polling refinement</w:t>
      </w:r>
    </w:p>
    <w:p>
      <w:pPr>
        <w:pStyle w:val="ListBullet"/>
        <w:spacing w:after="60"/>
      </w:pPr>
      <w:r>
        <w:t>Replace polling with a CallbackUrl-driven completion signal once the GSS platform team ships cross-tenant messaging — eliminates poll load on SAGE/contentingestion and the "ready" latency.</w:t>
      </w:r>
    </w:p>
    <w:p>
      <w:pPr>
        <w:pStyle w:val="ListBullet"/>
        <w:spacing w:after="60"/>
      </w:pPr>
      <w:r>
        <w:t>Until then, refine the v1 infinite-retry poll: foreground exponential backoff (~30s→60s→2m→5m cap, ~60-min wall clock) then a background reconciliation job up to a ~24h cap with an operator alert for dead jobs.</w:t>
      </w:r>
    </w:p>
    <w:p>
      <w:pPr>
        <w:spacing w:before="240" w:after="80"/>
      </w:pPr>
      <w:r>
        <w:rPr>
          <w:b/>
          <w:color w:val="1F4E79"/>
          <w:sz w:val="26"/>
        </w:rPr>
        <w:t>7. Catalog &amp; clustering</w:t>
      </w:r>
    </w:p>
    <w:p>
      <w:pPr>
        <w:pStyle w:val="ListBullet"/>
        <w:spacing w:after="60"/>
      </w:pPr>
      <w:r>
        <w:t>Bundle a seller's playtests so a tester can "log into all of this seller's private playtests" in one place instead of hunting through many offerings (v1 is one playtest = one title = one offering). Depends on a reliable way to list all groups a seller owns — Brian's GetGroupsBySellerAsync.</w:t>
      </w:r>
    </w:p>
    <w:p>
      <w:pPr>
        <w:spacing w:before="240" w:after="80"/>
      </w:pPr>
      <w:r>
        <w:rPr>
          <w:b/>
          <w:color w:val="1F4E79"/>
          <w:sz w:val="26"/>
        </w:rPr>
        <w:t>8. Rollout &amp; infra — ECS gating, region/routing, demo</w:t>
      </w:r>
    </w:p>
    <w:p>
      <w:pPr>
        <w:pStyle w:val="ListBullet"/>
        <w:spacing w:after="60"/>
      </w:pPr>
      <w:r>
        <w:t>ECS feature-flag gating by seller ID for private preview, so streaming-enabled publish is limited to a controlled set of sellers (David K is setting up the ECS configs; ECS edits are permission-gated and need a deployment).</w:t>
      </w:r>
    </w:p>
    <w:p>
      <w:pPr>
        <w:pStyle w:val="ListBullet"/>
        <w:spacing w:after="60"/>
      </w:pPr>
      <w:r>
        <w:t>Region configuration + routing: v1 simplification (Timi) is a single West US2 PC server + offering-conflict routing, so no region query params are needed. Later: region picker UI + investigate automatic DNS/IP routing; long-term multiple PC "flavors" (low/med/high GPU).</w:t>
      </w:r>
    </w:p>
    <w:p>
      <w:pPr>
        <w:pStyle w:val="ListBullet"/>
        <w:spacing w:after="60"/>
      </w:pPr>
      <w:r>
        <w:t>Demo prep: the PC server is ~T4 / Xbox Series S–class, so pick a lightweight but visually credible title (e.g. a Dolphin-based package) and validate ingest → offering → stream end-to-end before the demo.</w:t>
      </w:r>
    </w:p>
    <w:p>
      <w:pPr>
        <w:spacing w:before="240" w:after="80"/>
      </w:pPr>
      <w:r>
        <w:rPr>
          <w:b/>
          <w:color w:val="1F4E79"/>
          <w:sz w:val="26"/>
        </w:rPr>
        <w:t>9. Title eligibility</w:t>
      </w:r>
    </w:p>
    <w:p>
      <w:pPr>
        <w:pStyle w:val="ListBullet"/>
        <w:spacing w:after="60"/>
      </w:pPr>
      <w:r>
        <w:t>Allow non-Xbox-Live titles: v1 gates streaming on a resolvable XboxTitleId, which a brand-new playtest title doesn't have until it goes live. Unblock not-yet-published titles in a later version.</w:t>
      </w:r>
    </w:p>
    <w:p>
      <w:pPr>
        <w:spacing w:before="240" w:after="80"/>
      </w:pPr>
      <w:r>
        <w:rPr>
          <w:b/>
          <w:color w:val="1F4E79"/>
          <w:sz w:val="26"/>
        </w:rPr>
        <w:t>10. Lifecycle &amp; correctness follow-ups</w:t>
      </w:r>
    </w:p>
    <w:p>
      <w:pPr>
        <w:pStyle w:val="ListBullet"/>
        <w:spacing w:after="60"/>
      </w:pPr>
      <w:r>
        <w:t>Implement the DELETE …/by-playtest teardown route (SAGE + receiver) and the tombstone + 7-day GC pass (needs xCloud sign-off).</w:t>
      </w:r>
    </w:p>
    <w:p>
      <w:pPr>
        <w:pStyle w:val="ListBullet"/>
        <w:spacing w:after="60"/>
      </w:pPr>
      <w:r>
        <w:t>Wire the real PC install-readiness check to replace the v1 short-circuit.</w:t>
      </w:r>
    </w:p>
    <w:p>
      <w:pPr>
        <w:pStyle w:val="ListBullet"/>
        <w:spacing w:after="60"/>
      </w:pPr>
      <w:r>
        <w:t>Plumb the real AumID ApplicationId from the AppX manifest (v1.1), replacing the constant default.</w:t>
      </w:r>
    </w:p>
    <w:p>
      <w:pPr>
        <w:spacing w:after="120" w:before="0"/>
      </w:pPr>
    </w:p>
    <w:p>
      <w:pPr>
        <w:spacing w:after="120" w:before="0"/>
      </w:pPr>
      <w:r>
        <w:rPr>
          <w:b w:val="0"/>
          <w:i/>
          <w:color w:val="606060"/>
          <w:sz w:val="18"/>
        </w:rPr>
        <w:t>Generated from: OutdatedSpecificationDoc (Draft v2), the code-verified Comprehensive Review, the FuturePlans/ and Blockers/ threads, and the PR tracker. Paste the Part B blocks over the matching old sections; Part C replaces the old §12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