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Playtest Title Ingestion Workflow</w:t>
      </w:r>
    </w:p>
    <w:p>
      <w:pPr>
        <w:pStyle w:val="Subtitle"/>
      </w:pPr>
      <w:r>
        <w:t>Developer Spec — PlaytestTitleIngestionWorkflow</w:t>
      </w:r>
    </w:p>
    <w:p>
      <w:pPr>
        <w:pStyle w:val="Author"/>
      </w:pPr>
      <w:r>
        <w:t>Melanie Chen — Microsoft Xbox Intern</w:t>
      </w:r>
    </w:p>
    <w:p>
      <w:pPr>
        <w:pStyle w:val="Date"/>
      </w:pPr>
      <w:r>
        <w:t>Draft — June 2026</w:t>
      </w:r>
    </w:p>
    <w:p>
      <w:pPr>
        <w:pStyle w:val="Heading2"/>
      </w:pPr>
      <w:r>
        <w:t>1. Scope &amp; Goal</w:t>
      </w:r>
    </w:p>
    <w:p>
      <w:pPr>
        <w:pStyle w:val="FirstParagraph"/>
      </w:pPr>
      <w:r>
        <w:t>PlaytestTitleIngestionWorkflow is a trimmed-down copy of ProductIngestionWorker. It takes a caller-supplied StoreAsset and produces exactly one streaming package (a single 1.0 version), then creates the DNA-group-gated offering and attaches the title in a single Partner Registry PR.</w:t>
      </w:r>
    </w:p>
    <w:p>
      <w:pPr>
        <w:pStyle w:val="BodyText"/>
      </w:pPr>
      <w:r>
        <w:t>Playtest is always one asset → one package → one version. There is no BigCat store lookup, no DWOB ingest, no asset filtering, and no market/DLC fan-out. The workflow only manages a single asset-ingestion job and a single CreatePackageAsync.</w:t>
      </w:r>
    </w:p>
    <w:p>
      <w:pPr>
        <w:pStyle w:val="Heading2"/>
      </w:pPr>
      <w:r>
        <w:t>2. Copy ProductIngestionWorker, Then Strip</w:t>
      </w:r>
    </w:p>
    <w:p>
      <w:pPr>
        <w:pStyle w:val="Heading3"/>
      </w:pPr>
      <w:r>
        <w:t>2.1 Remove</w:t>
      </w:r>
    </w:p>
    <w:p>
      <w:pPr>
        <w:pStyle w:val="Compact"/>
      </w:pPr>
      <w:r>
        <w:t>GetStoreAssetState — StoreAsset is passed in on JobParameters, not fetched from the store.</w:t>
      </w:r>
    </w:p>
    <w:p>
      <w:pPr>
        <w:pStyle w:val="Compact"/>
      </w:pPr>
      <w:r>
        <w:t>IngestDwobs — no DWOBs for playtest.</w:t>
      </w:r>
    </w:p>
    <w:p>
      <w:pPr>
        <w:pStyle w:val="Compact"/>
      </w:pPr>
      <w:r>
        <w:t>PollFilterAssets / asset filtering — a single asset has nothing to filter.</w:t>
      </w:r>
    </w:p>
    <w:p>
      <w:pPr>
        <w:pStyle w:val="Compact"/>
      </w:pPr>
      <w:r>
        <w:t>DLC + market-variant package logic (StoreDlcAssets, Markets.Intersect, existingPackages lookup, retire-old-version) — one neutral package only.</w:t>
      </w:r>
    </w:p>
    <w:p>
      <w:pPr>
        <w:pStyle w:val="Compact"/>
      </w:pPr>
      <w:r>
        <w:t>DeleteOrphanedEntitiesState + ContentIdsFilter branch — nothing to reconcile; transition straight to Succeeded.</w:t>
      </w:r>
    </w:p>
    <w:p>
      <w:pPr>
        <w:pStyle w:val="Heading3"/>
      </w:pPr>
      <w:r>
        <w:t>2.2 Keep / adapt</w:t>
      </w:r>
    </w:p>
    <w:p>
      <w:pPr>
        <w:pStyle w:val="Compact"/>
      </w:pPr>
      <w:r>
        <w:t>TriggerAssetsIngestionState — triggers a single AssetIngestion job; each DNA group becomes a distinct audience.</w:t>
      </w:r>
    </w:p>
    <w:p>
      <w:pPr>
        <w:pStyle w:val="Compact"/>
      </w:pPr>
      <w:r>
        <w:t>PollAssetsIngestionState — unchanged child-job poll loop.</w:t>
      </w:r>
    </w:p>
    <w:p>
      <w:pPr>
        <w:pStyle w:val="Compact"/>
      </w:pPr>
      <w:r>
        <w:t>Package hydration — reduced to one CreatePackageAsync + one package version (1.0), tied to a neutral title id.</w:t>
      </w:r>
    </w:p>
    <w:p>
      <w:pPr>
        <w:pStyle w:val="Compact"/>
      </w:pPr>
      <w:r>
        <w:t>Partner Registry configure — replaced by the new combined offering + title method (one PR).</w:t>
      </w:r>
    </w:p>
    <w:p>
      <w:pPr>
        <w:pStyle w:val="Heading2"/>
      </w:pPr>
      <w:r>
        <w:t>3. Workflow Stages</w:t>
      </w:r>
    </w:p>
    <w:p>
      <w:pPr>
        <w:pStyle w:val="Heading3"/>
      </w:pPr>
      <w:r>
        <w:t>3.1 TriggerAssetsIngestionState</w:t>
      </w:r>
    </w:p>
    <w:p>
      <w:pPr>
        <w:pStyle w:val="FirstParagraph"/>
      </w:pPr>
      <w:r>
        <w:t>One asset, one job. Every DNA group is mapped to its own XusAudience. Unlike ProductIngestion, there is no foreach over StoreGameAssets ∪ StoreDlcAssets — just the single StoreAsset.</w:t>
      </w:r>
    </w:p>
    <w:p>
      <w:pPr>
        <w:pStyle w:val="SourceCode"/>
      </w:pPr>
      <w:r>
        <w:t>var parameters = new AssetIngestion.JobParameters(context.Parameters.PartnerId, storeAsset.ContentId)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StoreAsset = storeAsset,</w:t>
      </w:r>
    </w:p>
    <w:p>
      <w:pPr>
        <w:pStyle w:val="SourceCode"/>
      </w:pPr>
      <w:r>
        <w:t xml:space="preserve">    Audiences  = context.Parameters.Audiences   // one XusAudience per DNA group</w:t>
      </w:r>
    </w:p>
    <w:p>
      <w:pPr>
        <w:pStyle w:val="SourceCode"/>
      </w:pPr>
      <w:r>
        <w:t>};</w:t>
      </w:r>
    </w:p>
    <w:p>
      <w:pPr>
        <w:pStyle w:val="SourceCode"/>
      </w:pPr>
      <w:r>
        <w:t>var ticket = await this.workflowProcessor.TriggerAssetIngestionJobAsync(parameters, createdBy: ...);</w:t>
      </w:r>
    </w:p>
    <w:p>
      <w:pPr>
        <w:pStyle w:val="SourceCode"/>
      </w:pPr>
      <w:r>
        <w:t>context.State.PendingAssetJobs.Add(new ChildJobState { JobId = ticket.WorkflowId, ... });</w:t>
      </w:r>
    </w:p>
    <w:p>
      <w:pPr>
        <w:pStyle w:val="SourceCode"/>
      </w:pPr>
      <w:r>
        <w:t>return AsyncExecutionResult.TransitionTo(PollAssetsIngestionState, this.settings.ChildJobPollingInterval);</w:t>
      </w:r>
    </w:p>
    <w:p>
      <w:pPr>
        <w:pStyle w:val="BlockText"/>
      </w:pPr>
      <w:r>
        <w:t>Audiences are built as AllowedDnaGroups.Select(g =&gt; new XusAudience(g, AllowedSandboxId)). A single job carries all DNA-group audiences.</w:t>
      </w:r>
    </w:p>
    <w:p>
      <w:pPr>
        <w:pStyle w:val="Heading3"/>
      </w:pPr>
      <w:r>
        <w:t>3.2 PollAssetsIngestionState</w:t>
      </w:r>
    </w:p>
    <w:p>
      <w:pPr>
        <w:pStyle w:val="FirstParagraph"/>
      </w:pPr>
      <w:r>
        <w:t>Unchanged from ProductIngestionWorker: UpdateChildJobStatusesAsync, RetryWith while any job is Running, FailWorkflow if a child fails, otherwise transition to package hydration.</w:t>
      </w:r>
    </w:p>
    <w:p>
      <w:pPr>
        <w:pStyle w:val="Heading3"/>
      </w:pPr>
      <w:r>
        <w:t>3.3 Create Single Package + Version</w:t>
      </w:r>
    </w:p>
    <w:p>
      <w:pPr>
        <w:pStyle w:val="FirstParagraph"/>
      </w:pPr>
      <w:r>
        <w:t>No foreach, no DLC, no markets. Create one package tied to a neutral title id, then one version (1.0).</w:t>
      </w:r>
    </w:p>
    <w:p>
      <w:pPr>
        <w:pStyle w:val="SourceCode"/>
      </w:pPr>
      <w:r>
        <w:t>WireAsset gameAsset = assetsBySourceId[storeAsset.ContentId];</w:t>
      </w:r>
    </w:p>
    <w:p>
      <w:pPr>
        <w:pStyle w:val="SourceCode"/>
      </w:pPr>
      <w:r>
        <w:t>WireStreamingPackage package = await this.packagesProcessor.CreatePackageAsync(new WireStreamingPackage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PartnerId   = context.Parameters.PartnerId,</w:t>
      </w:r>
    </w:p>
    <w:p>
      <w:pPr>
        <w:pStyle w:val="SourceCode"/>
      </w:pPr>
      <w:r>
        <w:t xml:space="preserve">    TitleId     = ContentEntityIdentifiers.QualifyNeutralTitleId(</w:t>
      </w:r>
    </w:p>
    <w:p>
      <w:pPr>
        <w:pStyle w:val="SourceCode"/>
      </w:pPr>
      <w:r>
        <w:t xml:space="preserve">                      ContentEntityIdentifiers.GenerateNeutralTitleId(storeAsset.StoreEntry.Name)),</w:t>
      </w:r>
    </w:p>
    <w:p>
      <w:pPr>
        <w:pStyle w:val="SourceCode"/>
      </w:pPr>
      <w:r>
        <w:t xml:space="preserve">    Name        = ResolvePackageName(context, storeAsset),</w:t>
      </w:r>
    </w:p>
    <w:p>
      <w:pPr>
        <w:pStyle w:val="SourceCode"/>
      </w:pPr>
      <w:r>
        <w:t xml:space="preserve">    Description = ResolvePackageDescription(context, storeAsset, null),</w:t>
      </w:r>
    </w:p>
    <w:p>
      <w:pPr>
        <w:pStyle w:val="SourceCode"/>
      </w:pPr>
      <w:r>
        <w:t xml:space="preserve">    MaxBitRateMultiplier = context.Parameters.MaxBitRateMultiplier,</w:t>
      </w:r>
    </w:p>
    <w:p>
      <w:pPr>
        <w:pStyle w:val="SourceCode"/>
      </w:pPr>
      <w:r>
        <w:t xml:space="preserve">    Platform    = context.Parameters.Platform,</w:t>
      </w:r>
    </w:p>
    <w:p>
      <w:pPr>
        <w:pStyle w:val="SourceCode"/>
      </w:pPr>
      <w:r>
        <w:t xml:space="preserve">    Properties  = new PackageProperties(),</w:t>
      </w:r>
    </w:p>
    <w:p>
      <w:pPr>
        <w:pStyle w:val="SourceCode"/>
      </w:pPr>
      <w:r>
        <w:t xml:space="preserve">    MainGameAssetId = gameAsset.Id</w:t>
      </w:r>
    </w:p>
    <w:p>
      <w:pPr>
        <w:pStyle w:val="SourceCode"/>
      </w:pPr>
      <w:r>
        <w:t>});</w:t>
      </w:r>
    </w:p>
    <w:p>
      <w:pPr>
        <w:pStyle w:val="SourceCode"/>
      </w:pPr>
      <w:r>
        <w:t>context.State.StreamingPackageIds = new List&lt;Guid&gt; { package.Id };</w:t>
      </w:r>
    </w:p>
    <w:p>
      <w:pPr>
        <w:pStyle w:val="SourceCode"/>
      </w:pPr>
    </w:p>
    <w:p>
      <w:pPr>
        <w:pStyle w:val="SourceCode"/>
      </w:pPr>
      <w:r>
        <w:t>// single version 1.0 — no market mix, no DLC bundle</w:t>
      </w:r>
    </w:p>
    <w:p>
      <w:pPr>
        <w:pStyle w:val="SourceCode"/>
      </w:pPr>
      <w:r>
        <w:t>await this.packagesProcessor.CreatePackageVersionAsync(package.Id, new WireStreamingPackageVersion { /* 1.0 */ });</w:t>
      </w:r>
    </w:p>
    <w:p>
      <w:pPr>
        <w:pStyle w:val="SourceCode"/>
      </w:pPr>
      <w:r>
        <w:t>return AsyncExecutionResult.TransitionTo(ConfigureOfferingState);</w:t>
      </w:r>
    </w:p>
    <w:p>
      <w:pPr>
        <w:pStyle w:val="BlockText"/>
      </w:pPr>
      <w:r>
        <w:t>The title id is generated neutral (GenerateNeutralTitleId → QualifyNeutralTitleId) and tied to the package at creation. Drop the existingPackages lookup, the StoreDlcAssets join, the AvailableUntil retire-old-version logic, and the ContentIdsFilter branch — go straight to the offering stage.</w:t>
      </w:r>
    </w:p>
    <w:p>
      <w:pPr>
        <w:pStyle w:val="Heading3"/>
      </w:pPr>
      <w:r>
        <w:t>3.4 Configure Offering + Attach Title (one PR)</w:t>
      </w:r>
    </w:p>
    <w:p>
      <w:pPr>
        <w:pStyle w:val="FirstParagraph"/>
      </w:pPr>
      <w:r>
        <w:t>Call the new Partner Registry method that creates the offering AND adds the title in a single PR, wait for that PR to merge, then do the link.</w:t>
      </w:r>
    </w:p>
    <w:p>
      <w:pPr>
        <w:pStyle w:val="SourceCode"/>
      </w:pPr>
      <w:r>
        <w:t>// new Partner Registry method: offering create + title add batched into one ADO PR</w:t>
      </w:r>
    </w:p>
    <w:p>
      <w:pPr>
        <w:pStyle w:val="SourceCode"/>
      </w:pPr>
      <w:r>
        <w:t>await this.partnerRegistryClient.ConfigureAsync(offering, title, user);</w:t>
      </w:r>
    </w:p>
    <w:p>
      <w:pPr>
        <w:pStyle w:val="SourceCode"/>
      </w:pPr>
    </w:p>
    <w:p>
      <w:pPr>
        <w:pStyle w:val="SourceCode"/>
      </w:pPr>
      <w:r>
        <w:t>// poll until the PR merges, then link the package/title to the offering</w:t>
      </w:r>
    </w:p>
    <w:p>
      <w:pPr>
        <w:pStyle w:val="SourceCode"/>
      </w:pPr>
      <w:r>
        <w:t>return AsyncExecutionResult.TransitionTo(SucceededState);</w:t>
      </w:r>
    </w:p>
    <w:p>
      <w:pPr>
        <w:pStyle w:val="BlockText"/>
      </w:pPr>
      <w:r>
        <w:t>This replaces ProductIngestion's separate offering-write and title-attach calls. Combining both into one PR halves the SFI manual-approval cost. The link step runs only after the PR is merged.</w:t>
      </w:r>
    </w:p>
    <w:p>
      <w:pPr>
        <w:pStyle w:val="Heading2"/>
      </w:pPr>
      <w:r>
        <w:t>4. Parameters &amp; State</w:t>
      </w:r>
    </w:p>
    <w:p>
      <w:pPr>
        <w:pStyle w:val="Compact"/>
      </w:pPr>
      <w:r>
        <w:t>JobParameters — PartnerId ("PLAYTEST"), StoreAsset, Audiences (one per DNA group), Platform, ExpirationTime, AllowedSandboxId, PlaytestId.</w:t>
      </w:r>
    </w:p>
    <w:p>
      <w:pPr>
        <w:pStyle w:val="Compact"/>
      </w:pPr>
      <w:r>
        <w:t>JobState — PendingAssetJobs, StreamingPackageIds, OfferingId, TitleId.</w:t>
      </w:r>
    </w:p>
    <w:p>
      <w:pPr>
        <w:pStyle w:val="Heading2"/>
      </w:pPr>
      <w:r>
        <w:t>5. Derived Fields</w:t>
      </w:r>
    </w:p>
    <w:p>
      <w:pPr>
        <w:pStyle w:val="Compact"/>
      </w:pPr>
      <w:r>
        <w:t>TitleId — QualifyNeutralTitleId(GenerateNeutralTitleId(name)); neutral, tied to the package.</w:t>
      </w:r>
    </w:p>
    <w:p>
      <w:pPr>
        <w:pStyle w:val="Compact"/>
      </w:pPr>
      <w:r>
        <w:t>Package name — ResolvePackageName → QualifyNeutralStreamingPackageName(neutralName, markets, platform); neutral.</w:t>
      </w:r>
    </w:p>
    <w:p>
      <w:pPr>
        <w:pStyle w:val="Compact"/>
      </w:pPr>
      <w:r>
        <w:t>Audiences — one XusAudience(dnaGroup, AllowedSandboxId) per DNA group, built in TriggerAssetsIngestionState.</w:t>
      </w:r>
    </w:p>
    <w:p>
      <w:pPr>
        <w:pStyle w:val="Compact"/>
      </w:pPr>
      <w:r>
        <w:t>OfferingId — xpt-{shortId}.</w:t>
      </w:r>
    </w:p>
    <w:p>
      <w:pPr>
        <w:pStyle w:val="Heading2"/>
      </w:pPr>
      <w:r>
        <w:t>6. Open Items</w:t>
      </w:r>
    </w:p>
    <w:p>
      <w:pPr>
        <w:pStyle w:val="Compact"/>
      </w:pPr>
      <w:r>
        <w:t>Confirm the new combined Partner Registry method (name, shape, and the PR-merge polling/link contract).</w:t>
      </w:r>
    </w:p>
    <w:p>
      <w:pPr>
        <w:pStyle w:val="Compact"/>
      </w:pPr>
      <w:r>
        <w:t>Confirm WireStreamingPackageVersion fields for a single 1.0 version with no DLC and no market mix.</w:t>
      </w:r>
    </w:p>
    <w:p>
      <w:pPr>
        <w:pStyle w:val="Heading2"/>
      </w:pPr>
      <w:r>
        <w:t>7. Testing</w:t>
      </w:r>
    </w:p>
    <w:p>
      <w:pPr>
        <w:pStyle w:val="Compact"/>
      </w:pPr>
      <w:r>
        <w:t>Happy path — single job → one package + 1.0 version → combined PR → link → Succeeded.</w:t>
      </w:r>
    </w:p>
    <w:p>
      <w:pPr>
        <w:pStyle w:val="Compact"/>
      </w:pPr>
      <w:r>
        <w:t>Asset ingestion failure → FailWorkflow.</w:t>
      </w:r>
    </w:p>
    <w:p>
      <w:pPr>
        <w:pStyle w:val="Compact"/>
      </w:pPr>
      <w:r>
        <w:t>Audience fan-out — N DNA groups produce N XusAudiences on the one job.</w:t>
      </w:r>
    </w:p>
    <w:p>
      <w:pPr>
        <w:pStyle w:val="Compact"/>
      </w:pPr>
      <w:r>
        <w:t>Neutral title id / package name generation.</w:t>
      </w:r>
    </w:p>
    <w:p>
      <w:pPr>
        <w:pStyle w:val="Heading2"/>
      </w:pPr>
      <w:r>
        <w:t>8. Full Strip Checklist (vs. ProductIngestionWorker)</w:t>
      </w:r>
    </w:p>
    <w:p>
      <w:pPr>
        <w:pStyle w:val="FirstParagraph"/>
      </w:pPr>
      <w:r>
        <w:t>Beyond the four states you already named (GetStoreAsset, IngestDwobs, PollFilterAssets, DeleteOrphanedEntities), the following product-only logic should also be removed so the playtest path stays single-asset / single-package / single-version.</w:t>
      </w:r>
    </w:p>
    <w:p>
      <w:pPr>
        <w:pStyle w:val="Heading3"/>
      </w:pPr>
      <w:r>
        <w:t>8.1 Stage-level removals</w:t>
      </w:r>
    </w:p>
    <w:p>
      <w:pPr>
        <w:pStyle w:val="Compact"/>
      </w:pPr>
      <w:r>
        <w:t>TriggerAssets foreach over StoreGameAssets.Union(StoreDlcAssets) — trigger exactly one job for the single StoreAsset; drop the DLC union.</w:t>
      </w:r>
    </w:p>
    <w:p>
      <w:pPr>
        <w:pStyle w:val="Compact"/>
      </w:pPr>
      <w:r>
        <w:t>Package hydration: the assetsBySourceId dictionary + the “Not all assets are ingested” multi-asset guard — collapses to one asset lookup.</w:t>
      </w:r>
    </w:p>
    <w:p>
      <w:pPr>
        <w:pStyle w:val="Compact"/>
      </w:pPr>
      <w:r>
        <w:t>existingPackages.FirstOrDefault(...) lookup + the else-if “update name/description” (new market mix) branch — always create one fresh package.</w:t>
      </w:r>
    </w:p>
    <w:p>
      <w:pPr>
        <w:pStyle w:val="Compact"/>
      </w:pPr>
      <w:r>
        <w:t>StoreDlcAssets / dlcAssets join (dlc.Markets.Intersect(storeGameAsset.Markets)) — no DLC bundling for playtest.</w:t>
      </w:r>
    </w:p>
    <w:p>
      <w:pPr>
        <w:pStyle w:val="Compact"/>
      </w:pPr>
      <w:r>
        <w:t>Latest-version reconciliation (latestPackageVersion.AvailableUntil = utcNow; UpdatePackageVersionAsync) — always one fresh 1.0 version, nothing to retire.</w:t>
      </w:r>
    </w:p>
    <w:p>
      <w:pPr>
        <w:pStyle w:val="Compact"/>
      </w:pPr>
      <w:r>
        <w:t>The ContentIdsFilter branch (TransitionTo DeleteOrphaned vs Succeeded) — no filter; go straight to the offering stage.</w:t>
      </w:r>
    </w:p>
    <w:p>
      <w:pPr>
        <w:pStyle w:val="Heading3"/>
      </w:pPr>
      <w:r>
        <w:t>8.2 Parameters / state removals</w:t>
      </w:r>
    </w:p>
    <w:p>
      <w:pPr>
        <w:pStyle w:val="Compact"/>
      </w:pPr>
      <w:r>
        <w:t>StoreDlcAssets state field — never populated for playtest.</w:t>
      </w:r>
    </w:p>
    <w:p>
      <w:pPr>
        <w:pStyle w:val="Compact"/>
      </w:pPr>
      <w:r>
        <w:t>ContentIdsFilter parameter — no partial/orphan reconciliation.</w:t>
      </w:r>
    </w:p>
    <w:p>
      <w:pPr>
        <w:pStyle w:val="Compact"/>
      </w:pPr>
      <w:r>
        <w:t>PackageNameOverride / PackageDescriptionOverride — playtest uses the neutral name; drop the override plumbing unless a caller needs it.</w:t>
      </w:r>
    </w:p>
    <w:p>
      <w:pPr>
        <w:pStyle w:val="Compact"/>
      </w:pPr>
      <w:r>
        <w:t>EstimatedInstallSizeInBytes — only used for mailer/install-size reporting; drop with the notifications.</w:t>
      </w:r>
    </w:p>
    <w:p>
      <w:pPr>
        <w:pStyle w:val="Heading3"/>
      </w:pPr>
      <w:r>
        <w:t>8.3 Carried over from the title-attach side — evaluate</w:t>
      </w:r>
    </w:p>
    <w:p>
      <w:pPr>
        <w:pStyle w:val="Compact"/>
      </w:pPr>
      <w:r>
        <w:t>Mailer notifications (SendMailerStatusNotification / SendInstallNotification / SendInstallNotFound) — playtest reports status via the callback/poll, so the mailer paths can be dropped.</w:t>
      </w:r>
    </w:p>
    <w:p>
      <w:pPr>
        <w:pStyle w:val="Compact"/>
      </w:pPr>
      <w:r>
        <w:t>PollFirstInstall / NotifyInstallNotFound install-readiness poll — hardcoded Xbox PoolId + ServerType (XBOX_MAIN / XboxV3SeriesS); skip in v1 or fork for PC (XC6) rather than copy as-is.</w:t>
      </w:r>
    </w:p>
    <w:sectPr w:rsidR="00F0072F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9F435" w14:textId="77777777" w:rsidR="008E7613" w:rsidRDefault="008E7613">
      <w:pPr>
        <w:spacing w:after="0" w:line="240" w:lineRule="auto"/>
      </w:pPr>
      <w:r>
        <w:separator/>
      </w:r>
    </w:p>
  </w:endnote>
  <w:endnote w:type="continuationSeparator" w:id="0">
    <w:p w14:paraId="17ECB0DE" w14:textId="77777777" w:rsidR="008E7613" w:rsidRDefault="008E7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611BE" w14:textId="7774A3CF" w:rsidR="00697D0B" w:rsidRDefault="00F670D1">
    <w:pPr>
      <w:pStyle w:val="Footer"/>
    </w:pPr>
    <w:r>
      <w:t>Melanie Chen · Draft v2 · 2026-06-03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9A6DDA">
      <w:rPr>
        <w:noProof/>
      </w:rPr>
      <w:t>1</w:t>
    </w:r>
    <w:r>
      <w:fldChar w:fldCharType="end"/>
    </w:r>
    <w:r>
      <w:t xml:space="preserve"> of </w:t>
    </w:r>
    <w:fldSimple w:instr=" NUMPAGES ">
      <w:r w:rsidR="009A6DDA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CEE9C" w14:textId="77777777" w:rsidR="008E7613" w:rsidRDefault="008E7613">
      <w:pPr>
        <w:spacing w:after="0" w:line="240" w:lineRule="auto"/>
      </w:pPr>
      <w:r>
        <w:separator/>
      </w:r>
    </w:p>
  </w:footnote>
  <w:footnote w:type="continuationSeparator" w:id="0">
    <w:p w14:paraId="6252EBF1" w14:textId="77777777" w:rsidR="008E7613" w:rsidRDefault="008E7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611BD" w14:textId="77777777" w:rsidR="00697D0B" w:rsidRDefault="00F670D1">
    <w:pPr>
      <w:pStyle w:val="Header"/>
    </w:pPr>
    <w:r>
      <w:t>Instantly Shareable Playtest — Implementation Spec</w:t>
    </w:r>
    <w:r>
      <w:tab/>
      <w:t>Confidential · Microsoft Gaming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2CFE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601F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E20043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C0A0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3B17144"/>
    <w:multiLevelType w:val="hybridMultilevel"/>
    <w:tmpl w:val="20582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1704D"/>
    <w:multiLevelType w:val="hybridMultilevel"/>
    <w:tmpl w:val="B84CB91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20901">
    <w:abstractNumId w:val="0"/>
  </w:num>
  <w:num w:numId="2" w16cid:durableId="604932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6891518">
    <w:abstractNumId w:val="1"/>
  </w:num>
  <w:num w:numId="4" w16cid:durableId="846595980">
    <w:abstractNumId w:val="1"/>
  </w:num>
  <w:num w:numId="5" w16cid:durableId="1896235881">
    <w:abstractNumId w:val="1"/>
  </w:num>
  <w:num w:numId="6" w16cid:durableId="1098985172">
    <w:abstractNumId w:val="1"/>
  </w:num>
  <w:num w:numId="7" w16cid:durableId="1732580483">
    <w:abstractNumId w:val="1"/>
  </w:num>
  <w:num w:numId="8" w16cid:durableId="707412284">
    <w:abstractNumId w:val="2"/>
  </w:num>
  <w:num w:numId="9" w16cid:durableId="1169979802">
    <w:abstractNumId w:val="2"/>
  </w:num>
  <w:num w:numId="10" w16cid:durableId="287511580">
    <w:abstractNumId w:val="2"/>
  </w:num>
  <w:num w:numId="11" w16cid:durableId="415785013">
    <w:abstractNumId w:val="2"/>
  </w:num>
  <w:num w:numId="12" w16cid:durableId="1961036259">
    <w:abstractNumId w:val="2"/>
  </w:num>
  <w:num w:numId="13" w16cid:durableId="299263193">
    <w:abstractNumId w:val="2"/>
  </w:num>
  <w:num w:numId="14" w16cid:durableId="390621440">
    <w:abstractNumId w:val="2"/>
  </w:num>
  <w:num w:numId="15" w16cid:durableId="246116944">
    <w:abstractNumId w:val="2"/>
  </w:num>
  <w:num w:numId="16" w16cid:durableId="384569667">
    <w:abstractNumId w:val="2"/>
  </w:num>
  <w:num w:numId="17" w16cid:durableId="1478257047">
    <w:abstractNumId w:val="2"/>
  </w:num>
  <w:num w:numId="18" w16cid:durableId="449594995">
    <w:abstractNumId w:val="2"/>
  </w:num>
  <w:num w:numId="19" w16cid:durableId="1398750379">
    <w:abstractNumId w:val="2"/>
  </w:num>
  <w:num w:numId="20" w16cid:durableId="1738700792">
    <w:abstractNumId w:val="1"/>
  </w:num>
  <w:num w:numId="21" w16cid:durableId="1864126486">
    <w:abstractNumId w:val="1"/>
  </w:num>
  <w:num w:numId="22" w16cid:durableId="389038944">
    <w:abstractNumId w:val="1"/>
  </w:num>
  <w:num w:numId="23" w16cid:durableId="1437292977">
    <w:abstractNumId w:val="1"/>
  </w:num>
  <w:num w:numId="24" w16cid:durableId="750007024">
    <w:abstractNumId w:val="1"/>
  </w:num>
  <w:num w:numId="25" w16cid:durableId="183985026">
    <w:abstractNumId w:val="1"/>
  </w:num>
  <w:num w:numId="26" w16cid:durableId="118115107">
    <w:abstractNumId w:val="1"/>
  </w:num>
  <w:num w:numId="27" w16cid:durableId="769862369">
    <w:abstractNumId w:val="4"/>
  </w:num>
  <w:num w:numId="28" w16cid:durableId="1291782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0B"/>
    <w:rsid w:val="00012E0E"/>
    <w:rsid w:val="000B169E"/>
    <w:rsid w:val="000D440F"/>
    <w:rsid w:val="000F00B9"/>
    <w:rsid w:val="002012D6"/>
    <w:rsid w:val="00212BD1"/>
    <w:rsid w:val="00213B6D"/>
    <w:rsid w:val="00215549"/>
    <w:rsid w:val="00330772"/>
    <w:rsid w:val="003403AD"/>
    <w:rsid w:val="0038027B"/>
    <w:rsid w:val="003A3697"/>
    <w:rsid w:val="004238DC"/>
    <w:rsid w:val="00467636"/>
    <w:rsid w:val="00484ADF"/>
    <w:rsid w:val="00485416"/>
    <w:rsid w:val="00490AF7"/>
    <w:rsid w:val="004A2A5B"/>
    <w:rsid w:val="004B4E54"/>
    <w:rsid w:val="005C4171"/>
    <w:rsid w:val="00637363"/>
    <w:rsid w:val="00697D0B"/>
    <w:rsid w:val="006C5037"/>
    <w:rsid w:val="006D30C0"/>
    <w:rsid w:val="006E1284"/>
    <w:rsid w:val="006E667F"/>
    <w:rsid w:val="007178A9"/>
    <w:rsid w:val="0074227B"/>
    <w:rsid w:val="00747061"/>
    <w:rsid w:val="007D65DE"/>
    <w:rsid w:val="008004FF"/>
    <w:rsid w:val="00835E17"/>
    <w:rsid w:val="008E7613"/>
    <w:rsid w:val="00920E67"/>
    <w:rsid w:val="00926878"/>
    <w:rsid w:val="00972AA6"/>
    <w:rsid w:val="00976DC4"/>
    <w:rsid w:val="00981249"/>
    <w:rsid w:val="009A1D0B"/>
    <w:rsid w:val="009A6DDA"/>
    <w:rsid w:val="009E4C39"/>
    <w:rsid w:val="00A7406F"/>
    <w:rsid w:val="00A90F6D"/>
    <w:rsid w:val="00AA65E8"/>
    <w:rsid w:val="00AB6BAF"/>
    <w:rsid w:val="00B10D70"/>
    <w:rsid w:val="00C13F3D"/>
    <w:rsid w:val="00C66DAB"/>
    <w:rsid w:val="00CF4B9E"/>
    <w:rsid w:val="00D92F29"/>
    <w:rsid w:val="00E7730E"/>
    <w:rsid w:val="00E87DA3"/>
    <w:rsid w:val="00EC3BFD"/>
    <w:rsid w:val="00F0072F"/>
    <w:rsid w:val="00F0391A"/>
    <w:rsid w:val="00F43B68"/>
    <w:rsid w:val="00F670D1"/>
    <w:rsid w:val="00FF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0F56"/>
  <w15:docId w15:val="{8134E682-7899-49C7-A133-E6F0DA2D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sz w:val="22"/>
        <w:szCs w:val="22"/>
        <w:lang w:val="en-US" w:eastAsia="en-US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6" w:space="4" w:color="0F6CBD"/>
      </w:pBdr>
      <w:spacing w:before="480"/>
      <w:outlineLvl w:val="0"/>
    </w:pPr>
    <w:rPr>
      <w:rFonts w:ascii="Segoe UI Semibold" w:hAnsi="Segoe UI Semibold"/>
      <w:color w:val="0F6CB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80"/>
      <w:outlineLvl w:val="1"/>
    </w:pPr>
    <w:rPr>
      <w:rFonts w:ascii="Segoe UI Semibold" w:hAnsi="Segoe UI Semibold"/>
      <w:color w:val="2B579A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60"/>
      <w:outlineLvl w:val="2"/>
    </w:pPr>
    <w:rPr>
      <w:rFonts w:ascii="Segoe UI Semibold" w:hAnsi="Segoe UI Semibold"/>
      <w:color w:val="2B579A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60"/>
      <w:outlineLvl w:val="3"/>
    </w:pPr>
    <w:rPr>
      <w:rFonts w:ascii="Segoe UI Semibold" w:hAnsi="Segoe UI Semibold"/>
      <w:color w:val="40404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4"/>
    </w:pPr>
    <w:rPr>
      <w:rFonts w:ascii="Segoe UI Semibold" w:hAnsi="Segoe UI Semibold"/>
      <w:color w:val="404040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40"/>
      <w:outlineLvl w:val="5"/>
    </w:pPr>
    <w:rPr>
      <w:rFonts w:ascii="Segoe UI Semibold" w:hAnsi="Segoe UI Semibold"/>
      <w:i/>
      <w:color w:val="59595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3600" w:after="240"/>
      <w:contextualSpacing/>
      <w:jc w:val="center"/>
    </w:pPr>
    <w:rPr>
      <w:rFonts w:ascii="Segoe UI Light" w:hAnsi="Segoe UI Light"/>
      <w:color w:val="0F6CBD"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pBdr>
        <w:bottom w:val="single" w:sz="12" w:space="8" w:color="0F6CBD"/>
      </w:pBdr>
      <w:spacing w:after="480"/>
      <w:jc w:val="center"/>
    </w:pPr>
    <w:rPr>
      <w:i/>
      <w:color w:val="595959"/>
      <w:sz w:val="28"/>
      <w:szCs w:val="28"/>
    </w:rPr>
  </w:style>
  <w:style w:type="paragraph" w:customStyle="1" w:styleId="Author">
    <w:name w:val="Author"/>
    <w:basedOn w:val="Normal"/>
    <w:next w:val="Normal"/>
    <w:qFormat/>
    <w:pPr>
      <w:spacing w:before="120" w:after="0"/>
      <w:jc w:val="center"/>
    </w:pPr>
    <w:rPr>
      <w:rFonts w:ascii="Segoe UI Semibold" w:hAnsi="Segoe UI Semibold"/>
      <w:color w:val="404040"/>
      <w:sz w:val="24"/>
      <w:szCs w:val="24"/>
    </w:rPr>
  </w:style>
  <w:style w:type="paragraph" w:styleId="Date">
    <w:name w:val="Date"/>
    <w:basedOn w:val="Normal"/>
    <w:next w:val="Normal"/>
    <w:qFormat/>
    <w:pPr>
      <w:spacing w:before="40" w:after="0"/>
      <w:jc w:val="center"/>
    </w:pPr>
    <w:rPr>
      <w:color w:val="808080"/>
      <w:sz w:val="20"/>
      <w:szCs w:val="20"/>
    </w:rPr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qFormat/>
  </w:style>
  <w:style w:type="paragraph" w:styleId="BlockText">
    <w:name w:val="Block Text"/>
    <w:basedOn w:val="Normal"/>
    <w:qFormat/>
    <w:pPr>
      <w:pBdr>
        <w:left w:val="single" w:sz="24" w:space="8" w:color="0F6CBD"/>
      </w:pBdr>
      <w:shd w:val="clear" w:color="auto" w:fill="EAF3FB"/>
      <w:spacing w:before="160" w:after="160"/>
      <w:ind w:left="360"/>
    </w:pPr>
    <w:rPr>
      <w:i/>
      <w:color w:val="2B579A"/>
    </w:rPr>
  </w:style>
  <w:style w:type="paragraph" w:customStyle="1" w:styleId="SourceCode">
    <w:name w:val="Source Code"/>
    <w:basedOn w:val="Normal"/>
    <w:qFormat/>
    <w:pPr>
      <w:shd w:val="clear" w:color="auto" w:fill="F5F5F5"/>
      <w:spacing w:after="0" w:line="240" w:lineRule="auto"/>
      <w:ind w:left="120" w:right="120"/>
    </w:pPr>
    <w:rPr>
      <w:rFonts w:ascii="Cascadia Mono" w:hAnsi="Cascadia Mono" w:cs="Cascadia Mono"/>
      <w:sz w:val="18"/>
      <w:szCs w:val="18"/>
    </w:rPr>
  </w:style>
  <w:style w:type="character" w:customStyle="1" w:styleId="VerbatimChar">
    <w:name w:val="Verbatim Char"/>
    <w:qFormat/>
    <w:rPr>
      <w:rFonts w:ascii="Cascadia Mono" w:hAnsi="Cascadia Mono" w:cs="Cascadia Mono"/>
      <w:sz w:val="18"/>
      <w:szCs w:val="18"/>
      <w:shd w:val="clear" w:color="auto" w:fill="F5F5F5"/>
    </w:rPr>
  </w:style>
  <w:style w:type="paragraph" w:styleId="Caption">
    <w:name w:val="caption"/>
    <w:basedOn w:val="Normal"/>
    <w:next w:val="Normal"/>
    <w:qFormat/>
    <w:pPr>
      <w:spacing w:before="40" w:after="160"/>
    </w:pPr>
    <w:rPr>
      <w:i/>
      <w:color w:val="595959"/>
      <w:sz w:val="18"/>
    </w:rPr>
  </w:style>
  <w:style w:type="paragraph" w:styleId="TOC1">
    <w:name w:val="toc 1"/>
    <w:basedOn w:val="Normal"/>
    <w:next w:val="Normal"/>
    <w:uiPriority w:val="39"/>
    <w:pPr>
      <w:tabs>
        <w:tab w:val="right" w:leader="dot" w:pos="9000"/>
      </w:tabs>
      <w:spacing w:before="80" w:after="80"/>
    </w:pPr>
    <w:rPr>
      <w:b/>
      <w:color w:val="2B579A"/>
    </w:rPr>
  </w:style>
  <w:style w:type="paragraph" w:styleId="TOC2">
    <w:name w:val="toc 2"/>
    <w:basedOn w:val="Normal"/>
    <w:next w:val="Normal"/>
    <w:uiPriority w:val="39"/>
    <w:pPr>
      <w:tabs>
        <w:tab w:val="right" w:leader="dot" w:pos="9000"/>
      </w:tabs>
      <w:spacing w:before="20" w:after="20"/>
      <w:ind w:left="240"/>
    </w:pPr>
  </w:style>
  <w:style w:type="paragraph" w:styleId="TOCHeading">
    <w:name w:val="TOC Heading"/>
    <w:basedOn w:val="Heading1"/>
    <w:next w:val="Normal"/>
    <w:qFormat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  <w:rPr>
      <w:color w:val="808080"/>
      <w:sz w:val="18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  <w:rPr>
      <w:color w:val="808080"/>
      <w:sz w:val="18"/>
    </w:rPr>
  </w:style>
  <w:style w:type="table" w:customStyle="1" w:styleId="Table">
    <w:name w:val="Table"/>
    <w:basedOn w:val="TableNormal"/>
    <w:rPr>
      <w:sz w:val="20"/>
      <w:szCs w:val="20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E7E6E6"/>
        <w:insideV w:val="single" w:sz="4" w:space="0" w:color="E7E6E6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rPr>
        <w:rFonts w:ascii="Segoe UI Semibold" w:hAnsi="Segoe UI Semibold"/>
        <w:b/>
        <w:color w:val="FFFFFF"/>
        <w:sz w:val="20"/>
      </w:rPr>
      <w:tblPr/>
      <w:tcPr>
        <w:shd w:val="clear" w:color="auto" w:fill="0F6CBD"/>
      </w:tcPr>
    </w:tblStylePr>
    <w:tblStylePr w:type="band1Horz">
      <w:tblPr/>
      <w:tcPr>
        <w:shd w:val="clear" w:color="auto" w:fill="F2F7FC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Compact">
    <w:name w:val="Compact"/>
    <w:basedOn w:val="Normal"/>
    <w:qFormat/>
    <w:pPr>
      <w:spacing w:after="0"/>
    </w:pPr>
  </w:style>
  <w:style w:type="character" w:customStyle="1" w:styleId="KeywordTok">
    <w:name w:val="KeywordTok"/>
    <w:basedOn w:val="VerbatimChar"/>
    <w:rPr>
      <w:rFonts w:ascii="Cascadia Mono" w:hAnsi="Cascadia Mono" w:cs="Cascadia Mono"/>
      <w:b/>
      <w:color w:val="007020"/>
      <w:sz w:val="18"/>
      <w:szCs w:val="18"/>
      <w:shd w:val="clear" w:color="auto" w:fill="F5F5F5"/>
    </w:rPr>
  </w:style>
  <w:style w:type="character" w:customStyle="1" w:styleId="DataTypeTok">
    <w:name w:val="DataTypeTok"/>
    <w:basedOn w:val="VerbatimChar"/>
    <w:rPr>
      <w:rFonts w:ascii="Cascadia Mono" w:hAnsi="Cascadia Mono" w:cs="Cascadia Mono"/>
      <w:color w:val="902000"/>
      <w:sz w:val="18"/>
      <w:szCs w:val="18"/>
      <w:shd w:val="clear" w:color="auto" w:fill="F5F5F5"/>
    </w:rPr>
  </w:style>
  <w:style w:type="character" w:customStyle="1" w:styleId="DecValTok">
    <w:name w:val="DecValTok"/>
    <w:basedOn w:val="VerbatimChar"/>
    <w:rPr>
      <w:rFonts w:ascii="Cascadia Mono" w:hAnsi="Cascadia Mono" w:cs="Cascadia Mono"/>
      <w:color w:val="40A070"/>
      <w:sz w:val="18"/>
      <w:szCs w:val="18"/>
      <w:shd w:val="clear" w:color="auto" w:fill="F5F5F5"/>
    </w:rPr>
  </w:style>
  <w:style w:type="character" w:customStyle="1" w:styleId="BaseNTok">
    <w:name w:val="BaseNTok"/>
    <w:basedOn w:val="VerbatimChar"/>
    <w:rPr>
      <w:rFonts w:ascii="Cascadia Mono" w:hAnsi="Cascadia Mono" w:cs="Cascadia Mono"/>
      <w:color w:val="40A070"/>
      <w:sz w:val="18"/>
      <w:szCs w:val="18"/>
      <w:shd w:val="clear" w:color="auto" w:fill="F5F5F5"/>
    </w:rPr>
  </w:style>
  <w:style w:type="character" w:customStyle="1" w:styleId="FloatTok">
    <w:name w:val="FloatTok"/>
    <w:basedOn w:val="VerbatimChar"/>
    <w:rPr>
      <w:rFonts w:ascii="Cascadia Mono" w:hAnsi="Cascadia Mono" w:cs="Cascadia Mono"/>
      <w:color w:val="40A070"/>
      <w:sz w:val="18"/>
      <w:szCs w:val="18"/>
      <w:shd w:val="clear" w:color="auto" w:fill="F5F5F5"/>
    </w:rPr>
  </w:style>
  <w:style w:type="character" w:customStyle="1" w:styleId="ConstantTok">
    <w:name w:val="ConstantTok"/>
    <w:basedOn w:val="VerbatimChar"/>
    <w:rPr>
      <w:rFonts w:ascii="Cascadia Mono" w:hAnsi="Cascadia Mono" w:cs="Cascadia Mono"/>
      <w:color w:val="880000"/>
      <w:sz w:val="18"/>
      <w:szCs w:val="18"/>
      <w:shd w:val="clear" w:color="auto" w:fill="F5F5F5"/>
    </w:rPr>
  </w:style>
  <w:style w:type="character" w:customStyle="1" w:styleId="CharTok">
    <w:name w:val="CharTok"/>
    <w:basedOn w:val="VerbatimChar"/>
    <w:rPr>
      <w:rFonts w:ascii="Cascadia Mono" w:hAnsi="Cascadia Mono" w:cs="Cascadia Mono"/>
      <w:color w:val="4070A0"/>
      <w:sz w:val="18"/>
      <w:szCs w:val="18"/>
      <w:shd w:val="clear" w:color="auto" w:fill="F5F5F5"/>
    </w:rPr>
  </w:style>
  <w:style w:type="character" w:customStyle="1" w:styleId="SpecialCharTok">
    <w:name w:val="SpecialCharTok"/>
    <w:basedOn w:val="VerbatimChar"/>
    <w:rPr>
      <w:rFonts w:ascii="Cascadia Mono" w:hAnsi="Cascadia Mono" w:cs="Cascadia Mono"/>
      <w:color w:val="4070A0"/>
      <w:sz w:val="18"/>
      <w:szCs w:val="18"/>
      <w:shd w:val="clear" w:color="auto" w:fill="F5F5F5"/>
    </w:rPr>
  </w:style>
  <w:style w:type="character" w:customStyle="1" w:styleId="StringTok">
    <w:name w:val="StringTok"/>
    <w:basedOn w:val="VerbatimChar"/>
    <w:rPr>
      <w:rFonts w:ascii="Cascadia Mono" w:hAnsi="Cascadia Mono" w:cs="Cascadia Mono"/>
      <w:color w:val="4070A0"/>
      <w:sz w:val="18"/>
      <w:szCs w:val="18"/>
      <w:shd w:val="clear" w:color="auto" w:fill="F5F5F5"/>
    </w:rPr>
  </w:style>
  <w:style w:type="character" w:customStyle="1" w:styleId="VerbatimStringTok">
    <w:name w:val="VerbatimStringTok"/>
    <w:basedOn w:val="VerbatimChar"/>
    <w:rPr>
      <w:rFonts w:ascii="Cascadia Mono" w:hAnsi="Cascadia Mono" w:cs="Cascadia Mono"/>
      <w:color w:val="4070A0"/>
      <w:sz w:val="18"/>
      <w:szCs w:val="18"/>
      <w:shd w:val="clear" w:color="auto" w:fill="F5F5F5"/>
    </w:rPr>
  </w:style>
  <w:style w:type="character" w:customStyle="1" w:styleId="SpecialStringTok">
    <w:name w:val="SpecialStringTok"/>
    <w:basedOn w:val="VerbatimChar"/>
    <w:rPr>
      <w:rFonts w:ascii="Cascadia Mono" w:hAnsi="Cascadia Mono" w:cs="Cascadia Mono"/>
      <w:color w:val="BB6688"/>
      <w:sz w:val="18"/>
      <w:szCs w:val="18"/>
      <w:shd w:val="clear" w:color="auto" w:fill="F5F5F5"/>
    </w:rPr>
  </w:style>
  <w:style w:type="character" w:customStyle="1" w:styleId="ImportTok">
    <w:name w:val="ImportTok"/>
    <w:basedOn w:val="VerbatimChar"/>
    <w:rPr>
      <w:rFonts w:ascii="Cascadia Mono" w:hAnsi="Cascadia Mono" w:cs="Cascadia Mono"/>
      <w:b/>
      <w:color w:val="008000"/>
      <w:sz w:val="18"/>
      <w:szCs w:val="18"/>
      <w:shd w:val="clear" w:color="auto" w:fill="F5F5F5"/>
    </w:rPr>
  </w:style>
  <w:style w:type="character" w:customStyle="1" w:styleId="CommentTok">
    <w:name w:val="CommentTok"/>
    <w:basedOn w:val="VerbatimChar"/>
    <w:rPr>
      <w:rFonts w:ascii="Cascadia Mono" w:hAnsi="Cascadia Mono" w:cs="Cascadia Mono"/>
      <w:i/>
      <w:color w:val="60A0B0"/>
      <w:sz w:val="18"/>
      <w:szCs w:val="18"/>
      <w:shd w:val="clear" w:color="auto" w:fill="F5F5F5"/>
    </w:rPr>
  </w:style>
  <w:style w:type="character" w:customStyle="1" w:styleId="DocumentationTok">
    <w:name w:val="DocumentationTok"/>
    <w:basedOn w:val="VerbatimChar"/>
    <w:rPr>
      <w:rFonts w:ascii="Cascadia Mono" w:hAnsi="Cascadia Mono" w:cs="Cascadia Mono"/>
      <w:i/>
      <w:color w:val="BA2121"/>
      <w:sz w:val="18"/>
      <w:szCs w:val="18"/>
      <w:shd w:val="clear" w:color="auto" w:fill="F5F5F5"/>
    </w:rPr>
  </w:style>
  <w:style w:type="character" w:customStyle="1" w:styleId="AnnotationTok">
    <w:name w:val="AnnotationTok"/>
    <w:basedOn w:val="VerbatimChar"/>
    <w:rPr>
      <w:rFonts w:ascii="Cascadia Mono" w:hAnsi="Cascadia Mono" w:cs="Cascadia Mono"/>
      <w:b/>
      <w:i/>
      <w:color w:val="60A0B0"/>
      <w:sz w:val="18"/>
      <w:szCs w:val="18"/>
      <w:shd w:val="clear" w:color="auto" w:fill="F5F5F5"/>
    </w:rPr>
  </w:style>
  <w:style w:type="character" w:customStyle="1" w:styleId="CommentVarTok">
    <w:name w:val="CommentVarTok"/>
    <w:basedOn w:val="VerbatimChar"/>
    <w:rPr>
      <w:rFonts w:ascii="Cascadia Mono" w:hAnsi="Cascadia Mono" w:cs="Cascadia Mono"/>
      <w:b/>
      <w:i/>
      <w:color w:val="60A0B0"/>
      <w:sz w:val="18"/>
      <w:szCs w:val="18"/>
      <w:shd w:val="clear" w:color="auto" w:fill="F5F5F5"/>
    </w:rPr>
  </w:style>
  <w:style w:type="character" w:customStyle="1" w:styleId="OtherTok">
    <w:name w:val="OtherTok"/>
    <w:basedOn w:val="VerbatimChar"/>
    <w:rPr>
      <w:rFonts w:ascii="Cascadia Mono" w:hAnsi="Cascadia Mono" w:cs="Cascadia Mono"/>
      <w:color w:val="007020"/>
      <w:sz w:val="18"/>
      <w:szCs w:val="18"/>
      <w:shd w:val="clear" w:color="auto" w:fill="F5F5F5"/>
    </w:rPr>
  </w:style>
  <w:style w:type="character" w:customStyle="1" w:styleId="FunctionTok">
    <w:name w:val="FunctionTok"/>
    <w:basedOn w:val="VerbatimChar"/>
    <w:rPr>
      <w:rFonts w:ascii="Cascadia Mono" w:hAnsi="Cascadia Mono" w:cs="Cascadia Mono"/>
      <w:color w:val="06287E"/>
      <w:sz w:val="18"/>
      <w:szCs w:val="18"/>
      <w:shd w:val="clear" w:color="auto" w:fill="F5F5F5"/>
    </w:rPr>
  </w:style>
  <w:style w:type="character" w:customStyle="1" w:styleId="VariableTok">
    <w:name w:val="VariableTok"/>
    <w:basedOn w:val="VerbatimChar"/>
    <w:rPr>
      <w:rFonts w:ascii="Cascadia Mono" w:hAnsi="Cascadia Mono" w:cs="Cascadia Mono"/>
      <w:color w:val="19177C"/>
      <w:sz w:val="18"/>
      <w:szCs w:val="18"/>
      <w:shd w:val="clear" w:color="auto" w:fill="F5F5F5"/>
    </w:rPr>
  </w:style>
  <w:style w:type="character" w:customStyle="1" w:styleId="ControlFlowTok">
    <w:name w:val="ControlFlowTok"/>
    <w:basedOn w:val="VerbatimChar"/>
    <w:rPr>
      <w:rFonts w:ascii="Cascadia Mono" w:hAnsi="Cascadia Mono" w:cs="Cascadia Mono"/>
      <w:b/>
      <w:color w:val="007020"/>
      <w:sz w:val="18"/>
      <w:szCs w:val="18"/>
      <w:shd w:val="clear" w:color="auto" w:fill="F5F5F5"/>
    </w:rPr>
  </w:style>
  <w:style w:type="character" w:customStyle="1" w:styleId="OperatorTok">
    <w:name w:val="OperatorTok"/>
    <w:basedOn w:val="VerbatimChar"/>
    <w:rPr>
      <w:rFonts w:ascii="Cascadia Mono" w:hAnsi="Cascadia Mono" w:cs="Cascadia Mono"/>
      <w:color w:val="666666"/>
      <w:sz w:val="18"/>
      <w:szCs w:val="18"/>
      <w:shd w:val="clear" w:color="auto" w:fill="F5F5F5"/>
    </w:rPr>
  </w:style>
  <w:style w:type="character" w:customStyle="1" w:styleId="BuiltInTok">
    <w:name w:val="BuiltInTok"/>
    <w:basedOn w:val="VerbatimChar"/>
    <w:rPr>
      <w:rFonts w:ascii="Cascadia Mono" w:hAnsi="Cascadia Mono" w:cs="Cascadia Mono"/>
      <w:color w:val="008000"/>
      <w:sz w:val="18"/>
      <w:szCs w:val="18"/>
      <w:shd w:val="clear" w:color="auto" w:fill="F5F5F5"/>
    </w:rPr>
  </w:style>
  <w:style w:type="character" w:customStyle="1" w:styleId="ExtensionTok">
    <w:name w:val="ExtensionTok"/>
    <w:basedOn w:val="VerbatimChar"/>
    <w:rPr>
      <w:rFonts w:ascii="Cascadia Mono" w:hAnsi="Cascadia Mono" w:cs="Cascadia Mono"/>
      <w:sz w:val="18"/>
      <w:szCs w:val="18"/>
      <w:shd w:val="clear" w:color="auto" w:fill="F5F5F5"/>
    </w:rPr>
  </w:style>
  <w:style w:type="character" w:customStyle="1" w:styleId="PreprocessorTok">
    <w:name w:val="PreprocessorTok"/>
    <w:basedOn w:val="VerbatimChar"/>
    <w:rPr>
      <w:rFonts w:ascii="Cascadia Mono" w:hAnsi="Cascadia Mono" w:cs="Cascadia Mono"/>
      <w:color w:val="BC7A00"/>
      <w:sz w:val="18"/>
      <w:szCs w:val="18"/>
      <w:shd w:val="clear" w:color="auto" w:fill="F5F5F5"/>
    </w:rPr>
  </w:style>
  <w:style w:type="character" w:customStyle="1" w:styleId="AttributeTok">
    <w:name w:val="AttributeTok"/>
    <w:basedOn w:val="VerbatimChar"/>
    <w:rPr>
      <w:rFonts w:ascii="Cascadia Mono" w:hAnsi="Cascadia Mono" w:cs="Cascadia Mono"/>
      <w:color w:val="7D9029"/>
      <w:sz w:val="18"/>
      <w:szCs w:val="18"/>
      <w:shd w:val="clear" w:color="auto" w:fill="F5F5F5"/>
    </w:rPr>
  </w:style>
  <w:style w:type="character" w:customStyle="1" w:styleId="RegionMarkerTok">
    <w:name w:val="RegionMarkerTok"/>
    <w:basedOn w:val="VerbatimChar"/>
    <w:rPr>
      <w:rFonts w:ascii="Cascadia Mono" w:hAnsi="Cascadia Mono" w:cs="Cascadia Mono"/>
      <w:sz w:val="18"/>
      <w:szCs w:val="18"/>
      <w:shd w:val="clear" w:color="auto" w:fill="F5F5F5"/>
    </w:rPr>
  </w:style>
  <w:style w:type="character" w:customStyle="1" w:styleId="InformationTok">
    <w:name w:val="InformationTok"/>
    <w:basedOn w:val="VerbatimChar"/>
    <w:rPr>
      <w:rFonts w:ascii="Cascadia Mono" w:hAnsi="Cascadia Mono" w:cs="Cascadia Mono"/>
      <w:b/>
      <w:i/>
      <w:color w:val="60A0B0"/>
      <w:sz w:val="18"/>
      <w:szCs w:val="18"/>
      <w:shd w:val="clear" w:color="auto" w:fill="F5F5F5"/>
    </w:rPr>
  </w:style>
  <w:style w:type="character" w:customStyle="1" w:styleId="WarningTok">
    <w:name w:val="WarningTok"/>
    <w:basedOn w:val="VerbatimChar"/>
    <w:rPr>
      <w:rFonts w:ascii="Cascadia Mono" w:hAnsi="Cascadia Mono" w:cs="Cascadia Mono"/>
      <w:b/>
      <w:i/>
      <w:color w:val="60A0B0"/>
      <w:sz w:val="18"/>
      <w:szCs w:val="18"/>
      <w:shd w:val="clear" w:color="auto" w:fill="F5F5F5"/>
    </w:rPr>
  </w:style>
  <w:style w:type="character" w:customStyle="1" w:styleId="AlertTok">
    <w:name w:val="AlertTok"/>
    <w:basedOn w:val="VerbatimChar"/>
    <w:rPr>
      <w:rFonts w:ascii="Cascadia Mono" w:hAnsi="Cascadia Mono" w:cs="Cascadia Mono"/>
      <w:b/>
      <w:color w:val="FF0000"/>
      <w:sz w:val="18"/>
      <w:szCs w:val="18"/>
      <w:shd w:val="clear" w:color="auto" w:fill="F5F5F5"/>
    </w:rPr>
  </w:style>
  <w:style w:type="character" w:customStyle="1" w:styleId="ErrorTok">
    <w:name w:val="ErrorTok"/>
    <w:basedOn w:val="VerbatimChar"/>
    <w:rPr>
      <w:rFonts w:ascii="Cascadia Mono" w:hAnsi="Cascadia Mono" w:cs="Cascadia Mono"/>
      <w:b/>
      <w:color w:val="FF0000"/>
      <w:sz w:val="18"/>
      <w:szCs w:val="18"/>
      <w:shd w:val="clear" w:color="auto" w:fill="F5F5F5"/>
    </w:rPr>
  </w:style>
  <w:style w:type="character" w:customStyle="1" w:styleId="NormalTok">
    <w:name w:val="NormalTok"/>
    <w:basedOn w:val="VerbatimChar"/>
    <w:rPr>
      <w:rFonts w:ascii="Cascadia Mono" w:hAnsi="Cascadia Mono" w:cs="Cascadia Mono"/>
      <w:sz w:val="18"/>
      <w:szCs w:val="18"/>
      <w:shd w:val="clear" w:color="auto" w:fill="F5F5F5"/>
    </w:rPr>
  </w:style>
  <w:style w:type="paragraph" w:styleId="TOC3">
    <w:name w:val="toc 3"/>
    <w:basedOn w:val="Normal"/>
    <w:next w:val="Normal"/>
    <w:autoRedefine/>
    <w:uiPriority w:val="39"/>
    <w:unhideWhenUsed/>
    <w:rsid w:val="009A6DD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A6DD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1443</Words>
  <Characters>11705</Characters>
  <Application>Microsoft Office Word</Application>
  <DocSecurity>0</DocSecurity>
  <Lines>234</Lines>
  <Paragraphs>172</Paragraphs>
  <ScaleCrop>false</ScaleCrop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Instantly Shareable Playtest</dc:title>
  <dc:creator>Melanie Chen · Microsoft Gaming Intern (Cloud Streaming)</dc:creator>
  <cp:keywords/>
  <cp:lastModifiedBy>Melanie Chen</cp:lastModifiedBy>
  <cp:revision>13</cp:revision>
  <dcterms:created xsi:type="dcterms:W3CDTF">2026-05-30T05:10:00Z</dcterms:created>
  <dcterms:modified xsi:type="dcterms:W3CDTF">2026-06-03T01:14:00Z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v2 — June 2026</vt:lpwstr>
  </property>
  <property fmtid="{D5CDD505-2E9C-101B-9397-08002B2CF9AE}" pid="3" name="subtitle">
    <vt:lpwstr>Implementation Specification — xPlaytest × xCloud streaming opt-in</vt:lpwstr>
  </property>
</Properties>
</file>