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52"/>
      </w:pPr>
      <w:r>
        <w:rPr>
          <w:rFonts w:ascii="Calibri" w:cs="Calibri" w:eastAsia="Calibri" w:hAnsi="Calibri"/>
          <w:b/>
          <w:bCs/>
          <w:color w:val="1D4E89"/>
          <w:sz w:val="16"/>
          <w:szCs w:val="16"/>
        </w:rPr>
        <w:t xml:space="preserve">ROBIN VOICE AGENT  ·  EXPERIMENT READOUT</w:t>
      </w:r>
    </w:p>
    <w:p>
      <w:pPr>
        <w:spacing w:after="20" w:before="0" w:line="252"/>
      </w:pPr>
      <w:r>
        <w:rPr>
          <w:rFonts w:ascii="Calibri" w:cs="Calibri" w:eastAsia="Calibri" w:hAnsi="Calibri"/>
          <w:b/>
          <w:bCs/>
          <w:color w:val="1F2A37"/>
          <w:sz w:val="36"/>
          <w:szCs w:val="36"/>
        </w:rPr>
        <w:t xml:space="preserve">Wave 1 Results: Did People Enjoy Robin?</w:t>
      </w:r>
    </w:p>
    <w:p>
      <w:pPr>
        <w:spacing w:after="140" w:before="0" w:line="252"/>
      </w:pPr>
      <w:r>
        <w:rPr>
          <w:rFonts w:ascii="Calibri" w:cs="Calibri" w:eastAsia="Calibri" w:hAnsi="Calibri"/>
          <w:color w:val="5B6573"/>
          <w:sz w:val="17"/>
          <w:szCs w:val="17"/>
        </w:rPr>
        <w:t xml:space="preserve">Experience test, September 21 to 23, 2026  ·  87 calls from 35 internal testers  ·  Prepared September 24, 2026</w:t>
      </w:r>
    </w:p>
    <w:p>
      <w:pPr>
        <w:pBdr>
          <w:left w:val="single" w:color="1D4E89" w:sz="24" w:space="8"/>
        </w:pBdr>
        <w:shd w:fill="EEF3F9" w:color="auto" w:val="clear"/>
        <w:spacing w:after="140" w:line="264"/>
        <w:ind w:left="160" w:right="160"/>
      </w:pPr>
      <w:r>
        <w:rPr>
          <w:rFonts w:ascii="Calibri" w:cs="Calibri" w:eastAsia="Calibri" w:hAnsi="Calibri"/>
          <w:b/>
          <w:bCs/>
          <w:color w:val="1F2A37"/>
          <w:sz w:val="20"/>
          <w:szCs w:val="20"/>
        </w:rPr>
        <w:t xml:space="preserve">Bottom line: </w:t>
      </w:r>
      <w:r>
        <w:rPr>
          <w:rFonts w:ascii="Calibri" w:cs="Calibri" w:eastAsia="Calibri" w:hAnsi="Calibri"/>
          <w:color w:val="1F2A37"/>
          <w:sz w:val="20"/>
          <w:szCs w:val="20"/>
        </w:rPr>
        <w:t xml:space="preserve">Yes. Testers enjoyed Robin. She earned a Net Promoter Score of +47, which is in the “Great” range of the standard NPS scale, and most callers said they would rather use her than hold for a person. We are moving to Wave 2, which tests accuracy on real data, after fixing a short list of issues this wave surfaced.</w:t>
      </w:r>
    </w:p>
    <w:tbl>
      <w:tblPr>
        <w:tblW w:type="dxa" w:w="10224"/>
        <w:tblBorders>
          <w:top w:val="none" w:color="FFFFFF" w:sz="0"/>
          <w:left w:val="none" w:color="FFFFFF" w:sz="0"/>
          <w:bottom w:val="none" w:color="FFFFFF" w:sz="0"/>
          <w:right w:val="none" w:color="FFFFFF" w:sz="0"/>
          <w:insideH w:val="none" w:color="FFFFFF" w:sz="0"/>
          <w:insideV w:val="single" w:color="FFFFFF" w:sz="12"/>
        </w:tblBorders>
      </w:tblPr>
      <w:tblGrid>
        <w:gridCol w:w="2556"/>
        <w:gridCol w:w="2556"/>
        <w:gridCol w:w="2556"/>
        <w:gridCol w:w="2556"/>
      </w:tblGrid>
      <w:tr>
        <w:tc>
          <w:tcPr>
            <w:tcW w:type="dxa" w:w="2556"/>
            <w:tcBorders>
              <w:top w:val="none" w:color="FFFFFF" w:sz="0"/>
              <w:left w:val="none" w:color="FFFFFF" w:sz="0"/>
              <w:bottom w:val="none" w:color="FFFFFF" w:sz="0"/>
              <w:right w:val="none" w:color="FFFFFF" w:sz="0"/>
            </w:tcBorders>
            <w:shd w:fill="EEF3F9" w:color="auto" w:val="clear"/>
            <w:tcMar>
              <w:top w:type="dxa" w:w="110"/>
              <w:left w:type="dxa" w:w="140"/>
              <w:bottom w:type="dxa" w:w="110"/>
              <w:right w:type="dxa" w:w="140"/>
            </w:tcMar>
          </w:tcPr>
          <w:p>
            <w:pPr>
              <w:spacing w:after="0" w:before="0" w:line="252"/>
            </w:pPr>
            <w:r>
              <w:rPr>
                <w:rFonts w:ascii="Calibri" w:cs="Calibri" w:eastAsia="Calibri" w:hAnsi="Calibri"/>
                <w:b/>
                <w:bCs/>
                <w:color w:val="1D4E89"/>
                <w:sz w:val="36"/>
                <w:szCs w:val="36"/>
              </w:rPr>
              <w:t xml:space="preserve">+47</w:t>
            </w:r>
          </w:p>
          <w:p>
            <w:pPr>
              <w:spacing w:after="0" w:before="0" w:line="252"/>
            </w:pPr>
            <w:r>
              <w:rPr>
                <w:rFonts w:ascii="Calibri" w:cs="Calibri" w:eastAsia="Calibri" w:hAnsi="Calibri"/>
                <w:b/>
                <w:bCs/>
                <w:color w:val="1F2A37"/>
                <w:sz w:val="17"/>
                <w:szCs w:val="17"/>
              </w:rPr>
              <w:t xml:space="preserve">Net Promoter Score</w:t>
            </w:r>
          </w:p>
          <w:p>
            <w:pPr>
              <w:spacing w:after="0" w:before="0" w:line="252"/>
            </w:pPr>
            <w:r>
              <w:rPr>
                <w:rFonts w:ascii="Calibri" w:cs="Calibri" w:eastAsia="Calibri" w:hAnsi="Calibri"/>
                <w:color w:val="5B6573"/>
                <w:sz w:val="15"/>
                <w:szCs w:val="15"/>
              </w:rPr>
              <w:t xml:space="preserve">58 rated calls</w:t>
            </w:r>
          </w:p>
        </w:tc>
        <w:tc>
          <w:tcPr>
            <w:tcW w:type="dxa" w:w="2556"/>
            <w:tcBorders>
              <w:top w:val="none" w:color="FFFFFF" w:sz="0"/>
              <w:left w:val="none" w:color="FFFFFF" w:sz="0"/>
              <w:bottom w:val="none" w:color="FFFFFF" w:sz="0"/>
              <w:right w:val="none" w:color="FFFFFF" w:sz="0"/>
            </w:tcBorders>
            <w:shd w:fill="EEF3F9" w:color="auto" w:val="clear"/>
            <w:tcMar>
              <w:top w:type="dxa" w:w="110"/>
              <w:left w:type="dxa" w:w="140"/>
              <w:bottom w:type="dxa" w:w="110"/>
              <w:right w:type="dxa" w:w="140"/>
            </w:tcMar>
          </w:tcPr>
          <w:p>
            <w:pPr>
              <w:spacing w:after="0" w:before="0" w:line="252"/>
            </w:pPr>
            <w:r>
              <w:rPr>
                <w:rFonts w:ascii="Calibri" w:cs="Calibri" w:eastAsia="Calibri" w:hAnsi="Calibri"/>
                <w:b/>
                <w:bCs/>
                <w:color w:val="1D4E89"/>
                <w:sz w:val="36"/>
                <w:szCs w:val="36"/>
              </w:rPr>
              <w:t xml:space="preserve">4 in 5</w:t>
            </w:r>
          </w:p>
          <w:p>
            <w:pPr>
              <w:spacing w:after="0" w:before="0" w:line="252"/>
            </w:pPr>
            <w:r>
              <w:rPr>
                <w:rFonts w:ascii="Calibri" w:cs="Calibri" w:eastAsia="Calibri" w:hAnsi="Calibri"/>
                <w:b/>
                <w:bCs/>
                <w:color w:val="1F2A37"/>
                <w:sz w:val="17"/>
                <w:szCs w:val="17"/>
              </w:rPr>
              <w:t xml:space="preserve">would rather use Robin</w:t>
            </w:r>
          </w:p>
          <w:p>
            <w:pPr>
              <w:spacing w:after="0" w:before="0" w:line="252"/>
            </w:pPr>
            <w:r>
              <w:rPr>
                <w:rFonts w:ascii="Calibri" w:cs="Calibri" w:eastAsia="Calibri" w:hAnsi="Calibri"/>
                <w:color w:val="5B6573"/>
                <w:sz w:val="15"/>
                <w:szCs w:val="15"/>
              </w:rPr>
              <w:t xml:space="preserve">than hold for a person</w:t>
            </w:r>
          </w:p>
        </w:tc>
        <w:tc>
          <w:tcPr>
            <w:tcW w:type="dxa" w:w="2556"/>
            <w:tcBorders>
              <w:top w:val="none" w:color="FFFFFF" w:sz="0"/>
              <w:left w:val="none" w:color="FFFFFF" w:sz="0"/>
              <w:bottom w:val="none" w:color="FFFFFF" w:sz="0"/>
              <w:right w:val="none" w:color="FFFFFF" w:sz="0"/>
            </w:tcBorders>
            <w:shd w:fill="EEF3F9" w:color="auto" w:val="clear"/>
            <w:tcMar>
              <w:top w:type="dxa" w:w="110"/>
              <w:left w:type="dxa" w:w="140"/>
              <w:bottom w:type="dxa" w:w="110"/>
              <w:right w:type="dxa" w:w="140"/>
            </w:tcMar>
          </w:tcPr>
          <w:p>
            <w:pPr>
              <w:spacing w:after="0" w:before="0" w:line="252"/>
            </w:pPr>
            <w:r>
              <w:rPr>
                <w:rFonts w:ascii="Calibri" w:cs="Calibri" w:eastAsia="Calibri" w:hAnsi="Calibri"/>
                <w:b/>
                <w:bCs/>
                <w:color w:val="1D4E89"/>
                <w:sz w:val="36"/>
                <w:szCs w:val="36"/>
              </w:rPr>
              <w:t xml:space="preserve">8.5 / 10</w:t>
            </w:r>
          </w:p>
          <w:p>
            <w:pPr>
              <w:spacing w:after="0" w:before="0" w:line="252"/>
            </w:pPr>
            <w:r>
              <w:rPr>
                <w:rFonts w:ascii="Calibri" w:cs="Calibri" w:eastAsia="Calibri" w:hAnsi="Calibri"/>
                <w:b/>
                <w:bCs/>
                <w:color w:val="1F2A37"/>
                <w:sz w:val="17"/>
                <w:szCs w:val="17"/>
              </w:rPr>
              <w:t xml:space="preserve">voice naturalness</w:t>
            </w:r>
          </w:p>
          <w:p>
            <w:pPr>
              <w:spacing w:after="0" w:before="0" w:line="252"/>
            </w:pPr>
            <w:r>
              <w:rPr>
                <w:rFonts w:ascii="Calibri" w:cs="Calibri" w:eastAsia="Calibri" w:hAnsi="Calibri"/>
                <w:color w:val="5B6573"/>
                <w:sz w:val="15"/>
                <w:szCs w:val="15"/>
              </w:rPr>
              <w:t xml:space="preserve">average rating</w:t>
            </w:r>
          </w:p>
        </w:tc>
        <w:tc>
          <w:tcPr>
            <w:tcW w:type="dxa" w:w="2556"/>
            <w:tcBorders>
              <w:top w:val="none" w:color="FFFFFF" w:sz="0"/>
              <w:left w:val="none" w:color="FFFFFF" w:sz="0"/>
              <w:bottom w:val="none" w:color="FFFFFF" w:sz="0"/>
              <w:right w:val="none" w:color="FFFFFF" w:sz="0"/>
            </w:tcBorders>
            <w:shd w:fill="EEF3F9" w:color="auto" w:val="clear"/>
            <w:tcMar>
              <w:top w:type="dxa" w:w="110"/>
              <w:left w:type="dxa" w:w="140"/>
              <w:bottom w:type="dxa" w:w="110"/>
              <w:right w:type="dxa" w:w="140"/>
            </w:tcMar>
          </w:tcPr>
          <w:p>
            <w:pPr>
              <w:spacing w:after="0" w:before="0" w:line="252"/>
            </w:pPr>
            <w:r>
              <w:rPr>
                <w:rFonts w:ascii="Calibri" w:cs="Calibri" w:eastAsia="Calibri" w:hAnsi="Calibri"/>
                <w:b/>
                <w:bCs/>
                <w:color w:val="1D4E89"/>
                <w:sz w:val="36"/>
                <w:szCs w:val="36"/>
              </w:rPr>
              <w:t xml:space="preserve">7%</w:t>
            </w:r>
          </w:p>
          <w:p>
            <w:pPr>
              <w:spacing w:after="0" w:before="0" w:line="252"/>
            </w:pPr>
            <w:r>
              <w:rPr>
                <w:rFonts w:ascii="Calibri" w:cs="Calibri" w:eastAsia="Calibri" w:hAnsi="Calibri"/>
                <w:b/>
                <w:bCs/>
                <w:color w:val="1F2A37"/>
                <w:sz w:val="17"/>
                <w:szCs w:val="17"/>
              </w:rPr>
              <w:t xml:space="preserve">detractors</w:t>
            </w:r>
          </w:p>
          <w:p>
            <w:pPr>
              <w:spacing w:after="0" w:before="0" w:line="252"/>
            </w:pPr>
            <w:r>
              <w:rPr>
                <w:rFonts w:ascii="Calibri" w:cs="Calibri" w:eastAsia="Calibri" w:hAnsi="Calibri"/>
                <w:color w:val="5B6573"/>
                <w:sz w:val="15"/>
                <w:szCs w:val="15"/>
              </w:rPr>
              <w:t xml:space="preserve">53% promoters, 40% passive</w:t>
            </w:r>
          </w:p>
        </w:tc>
      </w:tr>
    </w:tbl>
    <w:p>
      <w:pPr>
        <w:pBdr>
          <w:bottom w:val="single" w:color="C9D3DF" w:sz="4" w:space="2"/>
        </w:pBdr>
        <w:spacing w:after="50" w:before="150" w:line="252"/>
      </w:pPr>
      <w:r>
        <w:rPr>
          <w:rFonts w:ascii="Calibri" w:cs="Calibri" w:eastAsia="Calibri" w:hAnsi="Calibri"/>
          <w:b/>
          <w:bCs/>
          <w:color w:val="1D4E89"/>
          <w:sz w:val="17"/>
          <w:szCs w:val="17"/>
        </w:rPr>
        <w:t xml:space="preserve">WHAT WE LEARNED</w:t>
      </w:r>
    </w:p>
    <w:p>
      <w:pPr>
        <w:pStyle w:val="ListParagraph"/>
        <w:numPr>
          <w:ilvl w:val="0"/>
          <w:numId w:val="2"/>
        </w:numPr>
        <w:spacing w:after="40" w:before="0" w:line="252"/>
      </w:pPr>
      <w:r>
        <w:rPr>
          <w:rFonts w:ascii="Calibri" w:cs="Calibri" w:eastAsia="Calibri" w:hAnsi="Calibri"/>
          <w:b/>
          <w:bCs/>
          <w:color w:val="1F2A37"/>
          <w:sz w:val="19"/>
          <w:szCs w:val="19"/>
        </w:rPr>
        <w:t xml:space="preserve">What people liked. </w:t>
      </w:r>
      <w:r>
        <w:rPr>
          <w:rFonts w:ascii="Calibri" w:cs="Calibri" w:eastAsia="Calibri" w:hAnsi="Calibri"/>
          <w:color w:val="1F2A37"/>
          <w:sz w:val="19"/>
          <w:szCs w:val="19"/>
        </w:rPr>
        <w:t xml:space="preserve">No hold time, fast and clear answers, and Robin answering follow-up questions before they were asked. Testers also valued knowing a person was one transfer away if she couldn’t help.</w:t>
      </w:r>
    </w:p>
    <w:p>
      <w:pPr>
        <w:pStyle w:val="ListParagraph"/>
        <w:numPr>
          <w:ilvl w:val="0"/>
          <w:numId w:val="2"/>
        </w:numPr>
        <w:spacing w:after="40" w:before="0" w:line="252"/>
      </w:pPr>
      <w:r>
        <w:rPr>
          <w:rFonts w:ascii="Calibri" w:cs="Calibri" w:eastAsia="Calibri" w:hAnsi="Calibri"/>
          <w:b/>
          <w:bCs/>
          <w:color w:val="1F2A37"/>
          <w:sz w:val="19"/>
          <w:szCs w:val="19"/>
        </w:rPr>
        <w:t xml:space="preserve">What held scores back. </w:t>
      </w:r>
      <w:r>
        <w:rPr>
          <w:rFonts w:ascii="Calibri" w:cs="Calibri" w:eastAsia="Calibri" w:hAnsi="Calibri"/>
          <w:color w:val="1F2A37"/>
          <w:sz w:val="19"/>
          <w:szCs w:val="19"/>
        </w:rPr>
        <w:t xml:space="preserve">The most common score was an 8. Testers said Robin speaks and reads numbers too quickly, mispronounced the website name, and misheard a few names and ID characters. These are polish issues, not failures of the core experience.</w:t>
      </w:r>
    </w:p>
    <w:p>
      <w:pPr>
        <w:pStyle w:val="ListParagraph"/>
        <w:numPr>
          <w:ilvl w:val="0"/>
          <w:numId w:val="2"/>
        </w:numPr>
        <w:spacing w:after="40" w:before="0" w:line="252"/>
      </w:pPr>
      <w:r>
        <w:rPr>
          <w:rFonts w:ascii="Calibri" w:cs="Calibri" w:eastAsia="Calibri" w:hAnsi="Calibri"/>
          <w:b/>
          <w:bCs/>
          <w:color w:val="1F2A37"/>
          <w:sz w:val="19"/>
          <w:szCs w:val="19"/>
        </w:rPr>
        <w:t xml:space="preserve">Negative feedback was concentrated. </w:t>
      </w:r>
      <w:r>
        <w:rPr>
          <w:rFonts w:ascii="Calibri" w:cs="Calibri" w:eastAsia="Calibri" w:hAnsi="Calibri"/>
          <w:color w:val="1F2A37"/>
          <w:sz w:val="19"/>
          <w:szCs w:val="19"/>
        </w:rPr>
        <w:t xml:space="preserve">Three of the four low scores came from one tester, who believed the fee information was wrong. The data was synthetic by design, but testers still judged accuracy, which is exactly what Wave 2 will measure.</w:t>
      </w:r>
    </w:p>
    <w:p>
      <w:pPr>
        <w:pStyle w:val="ListParagraph"/>
        <w:numPr>
          <w:ilvl w:val="0"/>
          <w:numId w:val="2"/>
        </w:numPr>
        <w:spacing w:after="40" w:before="0" w:line="252"/>
      </w:pPr>
      <w:r>
        <w:rPr>
          <w:rFonts w:ascii="Calibri" w:cs="Calibri" w:eastAsia="Calibri" w:hAnsi="Calibri"/>
          <w:b/>
          <w:bCs/>
          <w:color w:val="1F2A37"/>
          <w:sz w:val="19"/>
          <w:szCs w:val="19"/>
        </w:rPr>
        <w:t xml:space="preserve">Two issues ended calls early. </w:t>
      </w:r>
      <w:r>
        <w:rPr>
          <w:rFonts w:ascii="Calibri" w:cs="Calibri" w:eastAsia="Calibri" w:hAnsi="Calibri"/>
          <w:color w:val="1F2A37"/>
          <w:sz w:val="19"/>
          <w:szCs w:val="19"/>
        </w:rPr>
        <w:t xml:space="preserve">A safety filter stopped one call by mistake, and a request to update a beneficiary went unanswered on two calls. Neither shows up in the scores because those callers never reached the survey.</w:t>
      </w:r>
    </w:p>
    <w:p>
      <w:pPr>
        <w:pBdr>
          <w:bottom w:val="single" w:color="C9D3DF" w:sz="4" w:space="2"/>
        </w:pBdr>
        <w:spacing w:after="50" w:before="150" w:line="252"/>
      </w:pPr>
      <w:r>
        <w:rPr>
          <w:rFonts w:ascii="Calibri" w:cs="Calibri" w:eastAsia="Calibri" w:hAnsi="Calibri"/>
          <w:b/>
          <w:bCs/>
          <w:color w:val="1D4E89"/>
          <w:sz w:val="17"/>
          <w:szCs w:val="17"/>
        </w:rPr>
        <w:t xml:space="preserve">HOW TO READ THESE RESULTS</w:t>
      </w:r>
    </w:p>
    <w:p>
      <w:pPr>
        <w:spacing w:after="60" w:before="0" w:line="252"/>
      </w:pPr>
      <w:r>
        <w:rPr>
          <w:rFonts w:ascii="Calibri" w:cs="Calibri" w:eastAsia="Calibri" w:hAnsi="Calibri"/>
          <w:color w:val="1F2A37"/>
          <w:sz w:val="19"/>
          <w:szCs w:val="19"/>
        </w:rPr>
        <w:t xml:space="preserve">This is a strong early signal, not a measure of member sentiment. Testers were internal employees using synthetic account data over three days, and most calls that ended in a transfer to a person (about one in five) were not surveyed. NPS here is counted per call, and it asked whether callers would recommend handling their question this way.</w:t>
      </w:r>
    </w:p>
    <w:p>
      <w:pPr>
        <w:pBdr>
          <w:bottom w:val="single" w:color="C9D3DF" w:sz="4" w:space="2"/>
        </w:pBdr>
        <w:spacing w:after="50" w:before="150" w:line="252"/>
      </w:pPr>
      <w:r>
        <w:rPr>
          <w:rFonts w:ascii="Calibri" w:cs="Calibri" w:eastAsia="Calibri" w:hAnsi="Calibri"/>
          <w:b/>
          <w:bCs/>
          <w:color w:val="1D4E89"/>
          <w:sz w:val="17"/>
          <w:szCs w:val="17"/>
        </w:rPr>
        <w:t xml:space="preserve">NEXT STEPS BEFORE WAVE 2</w:t>
      </w:r>
    </w:p>
    <w:p>
      <w:pPr>
        <w:pStyle w:val="ListParagraph"/>
        <w:numPr>
          <w:ilvl w:val="0"/>
          <w:numId w:val="2"/>
        </w:numPr>
        <w:spacing w:after="40" w:before="0" w:line="252"/>
      </w:pPr>
      <w:r>
        <w:rPr>
          <w:rFonts w:ascii="Calibri" w:cs="Calibri" w:eastAsia="Calibri" w:hAnsi="Calibri"/>
          <w:b/>
          <w:bCs/>
          <w:color w:val="1F2A37"/>
          <w:sz w:val="19"/>
          <w:szCs w:val="19"/>
        </w:rPr>
        <w:t xml:space="preserve">Fix the call-ending issues: </w:t>
      </w:r>
      <w:r>
        <w:rPr>
          <w:rFonts w:ascii="Calibri" w:cs="Calibri" w:eastAsia="Calibri" w:hAnsi="Calibri"/>
          <w:color w:val="1F2A37"/>
          <w:sz w:val="19"/>
          <w:szCs w:val="19"/>
        </w:rPr>
        <w:t xml:space="preserve">the false safety-filter stop and the unanswered beneficiary request.</w:t>
      </w:r>
    </w:p>
    <w:p>
      <w:pPr>
        <w:pStyle w:val="ListParagraph"/>
        <w:numPr>
          <w:ilvl w:val="0"/>
          <w:numId w:val="2"/>
        </w:numPr>
        <w:spacing w:after="40" w:before="0" w:line="252"/>
      </w:pPr>
      <w:r>
        <w:rPr>
          <w:rFonts w:ascii="Calibri" w:cs="Calibri" w:eastAsia="Calibri" w:hAnsi="Calibri"/>
          <w:b/>
          <w:bCs/>
          <w:color w:val="1F2A37"/>
          <w:sz w:val="19"/>
          <w:szCs w:val="19"/>
        </w:rPr>
        <w:t xml:space="preserve">Polish the voice: </w:t>
      </w:r>
      <w:r>
        <w:rPr>
          <w:rFonts w:ascii="Calibri" w:cs="Calibri" w:eastAsia="Calibri" w:hAnsi="Calibri"/>
          <w:color w:val="1F2A37"/>
          <w:sz w:val="19"/>
          <w:szCs w:val="19"/>
        </w:rPr>
        <w:t xml:space="preserve">slow Robin’s pace, especially when she reads numbers, and correct how she pronounces the website name.</w:t>
      </w:r>
    </w:p>
    <w:p>
      <w:pPr>
        <w:pStyle w:val="ListParagraph"/>
        <w:numPr>
          <w:ilvl w:val="0"/>
          <w:numId w:val="2"/>
        </w:numPr>
        <w:spacing w:after="40" w:before="0" w:line="252"/>
      </w:pPr>
      <w:r>
        <w:rPr>
          <w:rFonts w:ascii="Calibri" w:cs="Calibri" w:eastAsia="Calibri" w:hAnsi="Calibri"/>
          <w:b/>
          <w:bCs/>
          <w:color w:val="1F2A37"/>
          <w:sz w:val="19"/>
          <w:szCs w:val="19"/>
        </w:rPr>
        <w:t xml:space="preserve">Close the measurement gaps: </w:t>
      </w:r>
      <w:r>
        <w:rPr>
          <w:rFonts w:ascii="Calibri" w:cs="Calibri" w:eastAsia="Calibri" w:hAnsi="Calibri"/>
          <w:color w:val="1F2A37"/>
          <w:sz w:val="19"/>
          <w:szCs w:val="19"/>
        </w:rPr>
        <w:t xml:space="preserve">survey callers after a transfer, and correct how spoken and Spanish-language survey answers are scored.</w:t>
      </w:r>
    </w:p>
    <w:p>
      <w:pPr>
        <w:pBdr>
          <w:bottom w:val="single" w:color="C9D3DF" w:sz="4" w:space="2"/>
        </w:pBdr>
        <w:spacing w:after="50" w:before="150" w:line="252"/>
      </w:pPr>
      <w:r>
        <w:rPr>
          <w:rFonts w:ascii="Calibri" w:cs="Calibri" w:eastAsia="Calibri" w:hAnsi="Calibri"/>
          <w:b/>
          <w:bCs/>
          <w:color w:val="1D4E89"/>
          <w:sz w:val="17"/>
          <w:szCs w:val="17"/>
        </w:rPr>
        <w:t xml:space="preserve">WHAT WAVE 2 WILL TEST</w:t>
      </w:r>
    </w:p>
    <w:p>
      <w:pPr>
        <w:spacing w:after="100" w:before="0" w:line="252"/>
      </w:pPr>
      <w:r>
        <w:rPr>
          <w:rFonts w:ascii="Calibri" w:cs="Calibri" w:eastAsia="Calibri" w:hAnsi="Calibri"/>
          <w:color w:val="1F2A37"/>
          <w:sz w:val="19"/>
          <w:szCs w:val="19"/>
        </w:rPr>
        <w:t xml:space="preserve">Wave 2 moves from </w:t>
      </w:r>
      <w:r>
        <w:rPr>
          <w:rFonts w:ascii="Calibri" w:cs="Calibri" w:eastAsia="Calibri" w:hAnsi="Calibri"/>
          <w:b/>
          <w:bCs/>
          <w:color w:val="1F2A37"/>
          <w:sz w:val="19"/>
          <w:szCs w:val="19"/>
        </w:rPr>
        <w:t xml:space="preserve">“Do people enjoy Robin?”</w:t>
      </w:r>
      <w:r>
        <w:rPr>
          <w:rFonts w:ascii="Calibri" w:cs="Calibri" w:eastAsia="Calibri" w:hAnsi="Calibri"/>
          <w:color w:val="1F2A37"/>
          <w:sz w:val="19"/>
          <w:szCs w:val="19"/>
        </w:rPr>
        <w:t xml:space="preserve"> to </w:t>
      </w:r>
      <w:r>
        <w:rPr>
          <w:rFonts w:ascii="Calibri" w:cs="Calibri" w:eastAsia="Calibri" w:hAnsi="Calibri"/>
          <w:b/>
          <w:bCs/>
          <w:color w:val="1F2A37"/>
          <w:sz w:val="19"/>
          <w:szCs w:val="19"/>
        </w:rPr>
        <w:t xml:space="preserve">“Is Robin correct?”</w:t>
      </w:r>
      <w:r>
        <w:rPr>
          <w:rFonts w:ascii="Calibri" w:cs="Calibri" w:eastAsia="Calibri" w:hAnsi="Calibri"/>
          <w:color w:val="1F2A37"/>
          <w:sz w:val="19"/>
          <w:szCs w:val="19"/>
        </w:rPr>
        <w:t xml:space="preserve"> Robin will answer questions against real data, and each answer will be checked for accuracy. The same satisfaction survey stays in place, so we can confirm the experience holds up when the stakes are real. Real data requires compliance sign-off on data handling before the wave begins, and timing will be set once the fixes above are verified.</w:t>
      </w:r>
    </w:p>
    <w:p>
      <w:pPr>
        <w:pBdr>
          <w:top w:val="single" w:color="C9D3DF" w:sz="4" w:space="4"/>
        </w:pBdr>
        <w:spacing w:after="0" w:before="60" w:line="252"/>
      </w:pPr>
      <w:r>
        <w:rPr>
          <w:rFonts w:ascii="Calibri" w:cs="Calibri" w:eastAsia="Calibri" w:hAnsi="Calibri"/>
          <w:i/>
          <w:iCs/>
          <w:color w:val="5B6573"/>
          <w:sz w:val="14"/>
          <w:szCs w:val="14"/>
        </w:rPr>
        <w:t xml:space="preserve">NPS scale: 0 to 30 Good, 30 to 70 Great, 70 to 100 Excellent (SurveyMonkey, “Net Promoter Score Benchmarks”). NPS = % promoters (9 to 10) minus % detractors (0 to 6). Source data: Robin experiment database, calls from September 21 to 23, 2026.</w:t>
      </w:r>
    </w:p>
    <w:sectPr>
      <w:pgSz w:w="12240" w:h="15840" w:orient="portrait"/>
      <w:pgMar w:top="864" w:right="1008" w:bottom="79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2026-09-24T18:53:24.869Z</dcterms:created>
  <dcterms:modified xsi:type="dcterms:W3CDTF">2026-09-24T18:53:24.869Z</dcterms:modified>
</cp:coreProperties>
</file>

<file path=docProps/custom.xml><?xml version="1.0" encoding="utf-8"?>
<Properties xmlns="http://schemas.openxmlformats.org/officeDocument/2006/custom-properties" xmlns:vt="http://schemas.openxmlformats.org/officeDocument/2006/docPropsVTypes"/>
</file>