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B90EE">
      <w:pPr>
        <w:pStyle w:val="36"/>
        <w:jc w:val="left"/>
      </w:pPr>
      <w:r>
        <w:rPr>
          <w:rFonts w:ascii="Arial" w:hAnsi="Arial" w:eastAsia="Arial"/>
          <w:b w:val="0"/>
          <w:i w:val="0"/>
          <w:color w:val="1F4E79"/>
          <w:sz w:val="48"/>
        </w:rPr>
        <w:t>OmniCharge — Architecture &amp; Design Document</w:t>
      </w:r>
    </w:p>
    <w:p w14:paraId="077052CE">
      <w:pPr>
        <w:pBdr>
          <w:bottom w:val="single" w:color="9AB9CE" w:sz="14" w:space="2"/>
        </w:pBdr>
        <w:spacing w:before="0" w:after="360" w:line="259" w:lineRule="auto"/>
      </w:pPr>
      <w:bookmarkStart w:id="0" w:name="_GoBack"/>
      <w:bookmarkEnd w:id="0"/>
      <w:r>
        <w:rPr>
          <w:rFonts w:ascii="Arial" w:hAnsi="Arial" w:eastAsia="Arial"/>
          <w:b w:val="0"/>
          <w:i w:val="0"/>
          <w:color w:val="5F5F5F"/>
          <w:sz w:val="24"/>
        </w:rPr>
        <w:t>Mobile Recharge Platform built with Angular, Spring Boot microservices and cloud-native support services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120"/>
        <w:gridCol w:w="1702"/>
        <w:gridCol w:w="2978"/>
      </w:tblGrid>
      <w:tr w14:paraId="444F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82B3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Project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CBC1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OmniCharge Mobile Recharge Platform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B3D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Document Type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A2E0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Industry-Level Project Report</w:t>
            </w:r>
          </w:p>
        </w:tc>
      </w:tr>
      <w:tr w14:paraId="05D3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D47C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Repository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7FCB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D:\Capgemini\sprint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AF97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Prepared On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2DF9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May 3, 2026</w:t>
            </w:r>
          </w:p>
        </w:tc>
      </w:tr>
      <w:tr w14:paraId="26E6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68FA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Architecture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49F8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Spring Boot Microservices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16ED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Frontend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6965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Angular 21</w:t>
            </w:r>
          </w:p>
        </w:tc>
      </w:tr>
      <w:tr w14:paraId="2C2D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24C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Deployment</w:t>
            </w:r>
          </w:p>
        </w:tc>
        <w:tc>
          <w:tcPr>
            <w:tcW w:w="3120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DACB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Docker Compose</w:t>
            </w:r>
          </w:p>
        </w:tc>
        <w:tc>
          <w:tcPr>
            <w:tcW w:w="1702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ED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F719"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43758"/>
                <w:sz w:val="19"/>
              </w:rPr>
              <w:t>Quality Tooling</w:t>
            </w:r>
          </w:p>
        </w:tc>
        <w:tc>
          <w:tcPr>
            <w:tcW w:w="297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D495"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JaCoCo, SonarQube, Swagger, Zipkin</w:t>
            </w:r>
          </w:p>
        </w:tc>
      </w:tr>
    </w:tbl>
    <w:p w14:paraId="7A8ADDFC">
      <w:pPr>
        <w:spacing w:before="320" w:after="16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This report packages the project in a professional delivery format: business scope, architecture, service design, API surface, data model, security posture, deployment approach, test strategy and improvement roadmap.</w:t>
      </w:r>
    </w:p>
    <w:p w14:paraId="248F2847">
      <w:r>
        <w:br w:type="page"/>
      </w:r>
    </w:p>
    <w:p w14:paraId="3D5E5786">
      <w:pPr>
        <w:pStyle w:val="2"/>
      </w:pPr>
      <w:r>
        <w:t>Contents</w:t>
      </w:r>
    </w:p>
    <w:p w14:paraId="5C877FA5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1. Architecture Overview</w:t>
      </w:r>
    </w:p>
    <w:p w14:paraId="63D4785A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2. Design Patterns Used</w:t>
      </w:r>
    </w:p>
    <w:p w14:paraId="45E53392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3. Security Architecture</w:t>
      </w:r>
    </w:p>
    <w:p w14:paraId="2FF7259B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4. Data Flow Diagrams</w:t>
      </w:r>
    </w:p>
    <w:p w14:paraId="51E6FAC7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5. Infrastructure &amp; Deployment</w:t>
      </w:r>
    </w:p>
    <w:p w14:paraId="75F2E739">
      <w:r>
        <w:br w:type="page"/>
      </w:r>
    </w:p>
    <w:p w14:paraId="6BFDE4D7">
      <w:pPr>
        <w:pStyle w:val="2"/>
      </w:pPr>
      <w:r>
        <w:t>1. Architecture Overview</w:t>
      </w:r>
    </w:p>
    <w:p w14:paraId="5CC5826D">
      <w:pPr>
        <w:pStyle w:val="3"/>
      </w:pPr>
      <w:r>
        <w:t>1.1 Architecture Style</w:t>
      </w:r>
    </w:p>
    <w:p w14:paraId="4EB485AC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 xml:space="preserve">The OmniCharge platform follows a </w:t>
      </w:r>
      <w:r>
        <w:rPr>
          <w:rFonts w:ascii="Arial" w:hAnsi="Arial" w:eastAsia="Arial"/>
          <w:b/>
          <w:i w:val="0"/>
          <w:color w:val="232323"/>
          <w:sz w:val="24"/>
        </w:rPr>
        <w:t>Microservices Architecture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where the application is decomposed into 5 business services and 3 infrastructure services. Each service is independently developed, deployed, and scaled.</w:t>
      </w:r>
    </w:p>
    <w:p w14:paraId="2A0B6955">
      <w:pPr>
        <w:pStyle w:val="3"/>
      </w:pPr>
      <w:r>
        <w:t>1.2 Architecture Diagram</w:t>
      </w:r>
    </w:p>
    <w:p w14:paraId="64783C21">
      <w:pPr>
        <w:pBdr>
          <w:top w:val="single" w:color="D8E1EA" w:sz="4" w:space="4"/>
          <w:left w:val="single" w:color="D8E1EA" w:sz="4" w:space="4"/>
          <w:bottom w:val="single" w:color="D8E1EA" w:sz="4" w:space="4"/>
          <w:right w:val="single" w:color="D8E1EA" w:sz="4" w:space="4"/>
        </w:pBdr>
        <w:shd w:val="clear" w:fill="F5F7FA"/>
        <w:spacing w:before="80" w:after="160" w:line="240" w:lineRule="auto"/>
      </w:pPr>
      <w:r>
        <w:rPr>
          <w:rFonts w:ascii="Consolas" w:hAnsi="Consolas" w:eastAsia="Consolas"/>
          <w:b w:val="0"/>
          <w:i w:val="0"/>
          <w:color w:val="2D2D2D"/>
          <w:sz w:val="16"/>
        </w:rPr>
        <w:t>Client Layer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Angular Frontend (4200)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Gateway Layer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API Gateway (8080): JWT validation, CORS, route mapping, Swagger aggregation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Business Services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User Service (8081): auth, users, profile, wallet -&gt; PostgreSQL user_db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Operator Service (8082): operators, recharge plans -&gt; PostgreSQL operator_db + Redis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Recharge Service (8083): recharge lifecycle -&gt; PostgreSQL recharge_db -&gt; payment.queue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Payment Service (8084): transactions, wallet payment, retry/refund -&gt; PostgreSQL payment_db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Notification Service (8085): payment result consumer -&gt; email notification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Platform Services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Eureka (8761), Config Server (8888), RabbitMQ (5672/15672), Zipkin (9411), SonarQube (9000)</w:t>
      </w:r>
    </w:p>
    <w:p w14:paraId="41C0BDD2">
      <w:pPr>
        <w:pBdr>
          <w:bottom w:val="single" w:color="D7DEE7" w:sz="6" w:space="2"/>
        </w:pBdr>
        <w:spacing w:before="0" w:after="80" w:line="259" w:lineRule="auto"/>
      </w:pPr>
    </w:p>
    <w:p w14:paraId="455B7858">
      <w:pPr>
        <w:pStyle w:val="2"/>
      </w:pPr>
      <w:r>
        <w:t>2. Design Patterns Used</w:t>
      </w:r>
    </w:p>
    <w:p w14:paraId="029349F9">
      <w:pPr>
        <w:pStyle w:val="3"/>
      </w:pPr>
      <w:r>
        <w:t>2.1 Database Per Service Pattern</w:t>
      </w:r>
    </w:p>
    <w:p w14:paraId="596FFD0E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Each microservice owns its own database. No service can access another service's database directly. Communication happens only through REST APIs or messaging.</w:t>
      </w:r>
    </w:p>
    <w:p w14:paraId="2287FCFD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Data isolation, independent schema evolution, no tight coupling.</w:t>
      </w:r>
    </w:p>
    <w:p w14:paraId="5B562A54">
      <w:pPr>
        <w:pStyle w:val="3"/>
      </w:pPr>
      <w:r>
        <w:t>2.2 API Gateway Pattern</w:t>
      </w:r>
    </w:p>
    <w:p w14:paraId="48B92313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All client requests pass through a single entry point (API Gateway). The gateway handles routing, authentication, and cross-cutting concerns like CORS.</w:t>
      </w:r>
    </w:p>
    <w:p w14:paraId="2CEBE9FA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Simplified client communication, centralized security.</w:t>
      </w:r>
    </w:p>
    <w:p w14:paraId="409E2B4B">
      <w:pPr>
        <w:pStyle w:val="3"/>
      </w:pPr>
      <w:r>
        <w:t>2.3 Service Discovery Pattern (Eureka)</w:t>
      </w:r>
    </w:p>
    <w:p w14:paraId="747B609A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Services register themselves with a central registry (Eureka). The API Gateway and Feign clients look up service instances dynamically.</w:t>
      </w:r>
    </w:p>
    <w:p w14:paraId="33877AE3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No hardcoded IP addresses; supports dynamic scaling.</w:t>
      </w:r>
    </w:p>
    <w:p w14:paraId="4783DAC3">
      <w:pPr>
        <w:pStyle w:val="3"/>
      </w:pPr>
      <w:r>
        <w:t>2.4 Event-Driven Architecture (RabbitMQ)</w:t>
      </w:r>
    </w:p>
    <w:p w14:paraId="18ACD8CD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The Recharge Service publishes events to RabbitMQ. The Payment Service consumes these events asynchronously.</w:t>
      </w:r>
    </w:p>
    <w:p w14:paraId="1934C761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Loose coupling between services; resilience to temporary failures.</w:t>
      </w:r>
    </w:p>
    <w:p w14:paraId="253669F4">
      <w:pPr>
        <w:pStyle w:val="3"/>
      </w:pPr>
      <w:r>
        <w:t>2.5 Circuit Breaker Pattern</w:t>
      </w:r>
    </w:p>
    <w:p w14:paraId="5D2996BF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The Payment Service implements a retry mechanism with a fallback strategy when the Recharge Service is unavailable.</w:t>
      </w:r>
    </w:p>
    <w:p w14:paraId="6C28C28F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Configuration:</w:t>
      </w:r>
    </w:p>
    <w:p w14:paraId="2A9560EA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Max Retry Attempts: 6</w:t>
      </w:r>
    </w:p>
    <w:p w14:paraId="150CF97D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Retry Interval: 30 seconds</w:t>
      </w:r>
    </w:p>
    <w:p w14:paraId="1983D785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Fallback: Mark as REFUND_PENDING, auto-refund wallet</w:t>
      </w:r>
    </w:p>
    <w:p w14:paraId="653BC239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Prevents cascading failures; protects user funds.</w:t>
      </w:r>
    </w:p>
    <w:p w14:paraId="1952EF7B">
      <w:pPr>
        <w:pStyle w:val="3"/>
      </w:pPr>
      <w:r>
        <w:t>2.6 Cache-Aside Pattern (Redis)</w:t>
      </w:r>
    </w:p>
    <w:p w14:paraId="1E9E4A0B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The Operator Service checks Redis before querying the database. On cache miss, data is fetched from PostgreSQL and stored in Redis.</w:t>
      </w:r>
    </w:p>
    <w:p w14:paraId="7E0AD1EC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Cache Strategy:</w:t>
      </w:r>
    </w:p>
    <w:p w14:paraId="5D7EA788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 xml:space="preserve">Read: </w:t>
      </w:r>
      <w:r>
        <w:rPr>
          <w:rFonts w:ascii="Consolas" w:hAnsi="Consolas" w:eastAsia="Consolas"/>
          <w:b w:val="0"/>
          <w:i w:val="0"/>
          <w:color w:val="2D4D64"/>
          <w:sz w:val="22"/>
        </w:rPr>
        <w:t>@Cacheable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 — returns cached data if available.</w:t>
      </w:r>
    </w:p>
    <w:p w14:paraId="64934B81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 xml:space="preserve">Write: </w:t>
      </w:r>
      <w:r>
        <w:rPr>
          <w:rFonts w:ascii="Consolas" w:hAnsi="Consolas" w:eastAsia="Consolas"/>
          <w:b w:val="0"/>
          <w:i w:val="0"/>
          <w:color w:val="2D4D64"/>
          <w:sz w:val="22"/>
        </w:rPr>
        <w:t>@CacheEvict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 — invalidates cache when data changes.</w:t>
      </w:r>
    </w:p>
    <w:p w14:paraId="1BC6B2B0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 xml:space="preserve">Cache Names: </w:t>
      </w:r>
      <w:r>
        <w:rPr>
          <w:rFonts w:ascii="Consolas" w:hAnsi="Consolas" w:eastAsia="Consolas"/>
          <w:b w:val="0"/>
          <w:i w:val="0"/>
          <w:color w:val="2D4D64"/>
          <w:sz w:val="22"/>
        </w:rPr>
        <w:t>plans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, </w:t>
      </w:r>
      <w:r>
        <w:rPr>
          <w:rFonts w:ascii="Consolas" w:hAnsi="Consolas" w:eastAsia="Consolas"/>
          <w:b w:val="0"/>
          <w:i w:val="0"/>
          <w:color w:val="2D4D64"/>
          <w:sz w:val="22"/>
        </w:rPr>
        <w:t>plan-by-id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, </w:t>
      </w:r>
      <w:r>
        <w:rPr>
          <w:rFonts w:ascii="Consolas" w:hAnsi="Consolas" w:eastAsia="Consolas"/>
          <w:b w:val="0"/>
          <w:i w:val="0"/>
          <w:color w:val="2D4D64"/>
          <w:sz w:val="22"/>
        </w:rPr>
        <w:t>plans-by-operator</w:t>
      </w:r>
      <w:r>
        <w:rPr>
          <w:rFonts w:ascii="Arial" w:hAnsi="Arial" w:eastAsia="Arial"/>
          <w:b w:val="0"/>
          <w:i w:val="0"/>
          <w:color w:val="232323"/>
          <w:sz w:val="23"/>
        </w:rPr>
        <w:t xml:space="preserve">, </w:t>
      </w:r>
      <w:r>
        <w:rPr>
          <w:rFonts w:ascii="Consolas" w:hAnsi="Consolas" w:eastAsia="Consolas"/>
          <w:b w:val="0"/>
          <w:i w:val="0"/>
          <w:color w:val="2D4D64"/>
          <w:sz w:val="22"/>
        </w:rPr>
        <w:t>operators</w:t>
      </w:r>
    </w:p>
    <w:p w14:paraId="6E102590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Reduces database load; sub-millisecond response times.</w:t>
      </w:r>
    </w:p>
    <w:p w14:paraId="2FD35713">
      <w:pPr>
        <w:pStyle w:val="3"/>
      </w:pPr>
      <w:r>
        <w:t>2.7 DTO (Data Transfer Object) Pattern</w:t>
      </w:r>
    </w:p>
    <w:p w14:paraId="72216134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Entities are never exposed directly to the API layer. DTOs are used for request/response objects.</w:t>
      </w:r>
    </w:p>
    <w:p w14:paraId="2BBB0DA2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Security (hides internal structure), flexibility (API can differ from DB schema).</w:t>
      </w:r>
    </w:p>
    <w:p w14:paraId="2AC57879">
      <w:pPr>
        <w:pStyle w:val="3"/>
      </w:pPr>
      <w:r>
        <w:t>2.8 Saga Pattern (Compensation)</w:t>
      </w:r>
    </w:p>
    <w:p w14:paraId="3EF8EF5D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>When a payment succeeds but the recharge status update fails:</w:t>
      </w:r>
    </w:p>
    <w:p w14:paraId="1A905ACA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Transaction is marked REFUND_PENDING.</w:t>
      </w:r>
    </w:p>
    <w:p w14:paraId="40F6E7A8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If payment was via Wallet, money is automatically returned.</w:t>
      </w:r>
    </w:p>
    <w:p w14:paraId="0BD586C7">
      <w:pPr>
        <w:pStyle w:val="29"/>
      </w:pPr>
      <w:r>
        <w:rPr>
          <w:rFonts w:ascii="Arial" w:hAnsi="Arial" w:eastAsia="Arial"/>
          <w:b w:val="0"/>
          <w:i w:val="0"/>
          <w:color w:val="232323"/>
          <w:sz w:val="23"/>
        </w:rPr>
        <w:t>User is notified via email.</w:t>
      </w:r>
    </w:p>
    <w:p w14:paraId="4FA33216">
      <w:pPr>
        <w:spacing w:before="0" w:after="140" w:line="259" w:lineRule="auto"/>
      </w:pPr>
      <w:r>
        <w:rPr>
          <w:rFonts w:ascii="Arial" w:hAnsi="Arial" w:eastAsia="Arial"/>
          <w:b/>
          <w:i w:val="0"/>
          <w:color w:val="232323"/>
          <w:sz w:val="24"/>
        </w:rPr>
        <w:t>Benefit: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Maintains data consistency across distributed services.</w:t>
      </w:r>
    </w:p>
    <w:p w14:paraId="2945A72E">
      <w:pPr>
        <w:pBdr>
          <w:bottom w:val="single" w:color="D7DEE7" w:sz="6" w:space="2"/>
        </w:pBdr>
        <w:spacing w:before="0" w:after="80" w:line="259" w:lineRule="auto"/>
      </w:pPr>
    </w:p>
    <w:p w14:paraId="7774A40C">
      <w:pPr>
        <w:pStyle w:val="2"/>
      </w:pPr>
      <w:r>
        <w:t>3. Security Architecture</w:t>
      </w:r>
    </w:p>
    <w:p w14:paraId="5630ADA4">
      <w:pPr>
        <w:pStyle w:val="3"/>
      </w:pPr>
      <w:r>
        <w:t>3.1 JWT Token Lifecycle</w:t>
      </w:r>
    </w:p>
    <w:p w14:paraId="08FAC80B">
      <w:pPr>
        <w:pBdr>
          <w:top w:val="single" w:color="D8E1EA" w:sz="4" w:space="4"/>
          <w:left w:val="single" w:color="D8E1EA" w:sz="4" w:space="4"/>
          <w:bottom w:val="single" w:color="D8E1EA" w:sz="4" w:space="4"/>
          <w:right w:val="single" w:color="D8E1EA" w:sz="4" w:space="4"/>
        </w:pBdr>
        <w:shd w:val="clear" w:fill="F5F7FA"/>
        <w:spacing w:before="80" w:after="160" w:line="240" w:lineRule="auto"/>
      </w:pPr>
      <w:r>
        <w:rPr>
          <w:rFonts w:ascii="Consolas" w:hAnsi="Consolas" w:eastAsia="Consolas"/>
          <w:b w:val="0"/>
          <w:i w:val="0"/>
          <w:color w:val="2D2D2D"/>
          <w:sz w:val="16"/>
        </w:rPr>
        <w:t>[User Login] → [User Service validates credentials]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[JwtUtil generates token with username, role, email]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[Token sent to Angular Frontend]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[Frontend stores token in Cookie]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[AuthInterceptor adds "Bearer &lt;token&gt;" to every request]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[API Gateway validates token using JwtAuthenticationFilter]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[If valid: request forwarded with X-Auth-Username header]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[If invalid: 401 Unauthorized response]</w:t>
      </w:r>
    </w:p>
    <w:p w14:paraId="6D831FC5">
      <w:pPr>
        <w:pStyle w:val="3"/>
      </w:pPr>
      <w:r>
        <w:t>3.2 Role-Based Access Control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6"/>
        <w:gridCol w:w="3166"/>
        <w:gridCol w:w="3028"/>
      </w:tblGrid>
      <w:tr w14:paraId="4035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988D2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Endpoint Pattern</w:t>
            </w:r>
          </w:p>
        </w:tc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E6A0D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Required Role</w:t>
            </w:r>
          </w:p>
        </w:tc>
        <w:tc>
          <w:tcPr>
            <w:tcW w:w="302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083DD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9"/>
              </w:rPr>
              <w:t>Description</w:t>
            </w:r>
          </w:p>
        </w:tc>
      </w:tr>
      <w:tr w14:paraId="2F8A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EEA8A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/api/auth/**</w:t>
            </w:r>
          </w:p>
        </w:tc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CC5E25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None (Public)</w:t>
            </w:r>
          </w:p>
        </w:tc>
        <w:tc>
          <w:tcPr>
            <w:tcW w:w="302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A3519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Login and registration</w:t>
            </w:r>
          </w:p>
        </w:tc>
      </w:tr>
      <w:tr w14:paraId="03626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AB15E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/api/users/profile</w:t>
            </w:r>
          </w:p>
        </w:tc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8D942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ROLE_USER or ROLE_ADMIN</w:t>
            </w:r>
          </w:p>
        </w:tc>
        <w:tc>
          <w:tcPr>
            <w:tcW w:w="302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82FFC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User profile</w:t>
            </w:r>
          </w:p>
        </w:tc>
      </w:tr>
      <w:tr w14:paraId="2990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50C31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/api/recharge/**</w:t>
            </w:r>
          </w:p>
        </w:tc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09774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ROLE_USER or ROLE_ADMIN</w:t>
            </w:r>
          </w:p>
        </w:tc>
        <w:tc>
          <w:tcPr>
            <w:tcW w:w="302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D3030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Recharge operations</w:t>
            </w:r>
          </w:p>
        </w:tc>
      </w:tr>
      <w:tr w14:paraId="0CAB7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E98B8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/api/operators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 xml:space="preserve"> (POST)</w:t>
            </w:r>
          </w:p>
        </w:tc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6746D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ROLE_ADMIN only</w:t>
            </w:r>
          </w:p>
        </w:tc>
        <w:tc>
          <w:tcPr>
            <w:tcW w:w="302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C8933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Create operator</w:t>
            </w:r>
          </w:p>
        </w:tc>
      </w:tr>
      <w:tr w14:paraId="1B73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27B0C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D4D64"/>
                <w:sz w:val="18"/>
              </w:rPr>
              <w:t>/api/users/all</w:t>
            </w:r>
          </w:p>
        </w:tc>
        <w:tc>
          <w:tcPr>
            <w:tcW w:w="3166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B9990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ROLE_ADMIN only</w:t>
            </w:r>
          </w:p>
        </w:tc>
        <w:tc>
          <w:tcPr>
            <w:tcW w:w="3028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42E31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9"/>
              </w:rPr>
              <w:t>View all users</w:t>
            </w:r>
          </w:p>
        </w:tc>
      </w:tr>
    </w:tbl>
    <w:p w14:paraId="351A3377"/>
    <w:p w14:paraId="1B6399EB">
      <w:pPr>
        <w:pStyle w:val="3"/>
      </w:pPr>
      <w:r>
        <w:t>3.3 Password Security</w:t>
      </w:r>
    </w:p>
    <w:p w14:paraId="7D0E7FC9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Algorithm: BCrypt (one-way hash with salt).</w:t>
      </w:r>
    </w:p>
    <w:p w14:paraId="0EAF128D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Even database administrators cannot see original passwords.</w:t>
      </w:r>
    </w:p>
    <w:p w14:paraId="507531EF">
      <w:pPr>
        <w:pStyle w:val="23"/>
      </w:pPr>
      <w:r>
        <w:rPr>
          <w:rFonts w:ascii="Arial" w:hAnsi="Arial" w:eastAsia="Arial"/>
          <w:b w:val="0"/>
          <w:i w:val="0"/>
          <w:color w:val="232323"/>
          <w:sz w:val="23"/>
        </w:rPr>
        <w:t>Each hash includes a random salt, so identical passwords produce different hashes.</w:t>
      </w:r>
    </w:p>
    <w:p w14:paraId="3CB3F751">
      <w:pPr>
        <w:pBdr>
          <w:bottom w:val="single" w:color="D7DEE7" w:sz="6" w:space="2"/>
        </w:pBdr>
        <w:spacing w:before="0" w:after="80" w:line="259" w:lineRule="auto"/>
      </w:pPr>
    </w:p>
    <w:p w14:paraId="36EECF94">
      <w:pPr>
        <w:pStyle w:val="2"/>
      </w:pPr>
      <w:r>
        <w:t>4. Data Flow Diagrams</w:t>
      </w:r>
    </w:p>
    <w:p w14:paraId="499C8782">
      <w:pPr>
        <w:pStyle w:val="3"/>
      </w:pPr>
      <w:r>
        <w:t>4.1 Recharge &amp; Payment Flow</w:t>
      </w:r>
    </w:p>
    <w:p w14:paraId="68C27117">
      <w:pPr>
        <w:pBdr>
          <w:top w:val="single" w:color="D8E1EA" w:sz="4" w:space="4"/>
          <w:left w:val="single" w:color="D8E1EA" w:sz="4" w:space="4"/>
          <w:bottom w:val="single" w:color="D8E1EA" w:sz="4" w:space="4"/>
          <w:right w:val="single" w:color="D8E1EA" w:sz="4" w:space="4"/>
        </w:pBdr>
        <w:shd w:val="clear" w:fill="F5F7FA"/>
        <w:spacing w:before="80" w:after="160" w:line="240" w:lineRule="auto"/>
      </w:pPr>
      <w:r>
        <w:rPr>
          <w:rFonts w:ascii="Consolas" w:hAnsi="Consolas" w:eastAsia="Consolas"/>
          <w:b w:val="0"/>
          <w:i w:val="0"/>
          <w:color w:val="2D2D2D"/>
          <w:sz w:val="16"/>
        </w:rPr>
        <w:t>Client Layer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Angular Frontend (4200)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Gateway Layer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API Gateway (8080): JWT validation, CORS, route mapping, Swagger aggregation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Business Services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User Service (8081): auth, users, profile, wallet -&gt; PostgreSQL user_db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Operator Service (8082): operators, recharge plans -&gt; PostgreSQL operator_db + Redis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Recharge Service (8083): recharge lifecycle -&gt; PostgreSQL recharge_db -&gt; payment.queue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Payment Service (8084): transactions, wallet payment, retry/refund -&gt; PostgreSQL payment_db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Notification Service (8085): payment result consumer -&gt; email notification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>Platform Services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Eureka (8761), Config Server (8888), RabbitMQ (5672/15672), Zipkin (9411), SonarQube (9000)</w:t>
      </w:r>
    </w:p>
    <w:p w14:paraId="36F41BB5">
      <w:pPr>
        <w:pStyle w:val="3"/>
      </w:pPr>
      <w:r>
        <w:t>4.2 Wallet Top-Up Flow</w:t>
      </w:r>
    </w:p>
    <w:p w14:paraId="795A96F8">
      <w:pPr>
        <w:pBdr>
          <w:top w:val="single" w:color="D8E1EA" w:sz="4" w:space="4"/>
          <w:left w:val="single" w:color="D8E1EA" w:sz="4" w:space="4"/>
          <w:bottom w:val="single" w:color="D8E1EA" w:sz="4" w:space="4"/>
          <w:right w:val="single" w:color="D8E1EA" w:sz="4" w:space="4"/>
        </w:pBdr>
        <w:shd w:val="clear" w:fill="F5F7FA"/>
        <w:spacing w:before="80" w:after="160" w:line="240" w:lineRule="auto"/>
      </w:pPr>
      <w:r>
        <w:rPr>
          <w:rFonts w:ascii="Consolas" w:hAnsi="Consolas" w:eastAsia="Consolas"/>
          <w:b w:val="0"/>
          <w:i w:val="0"/>
          <w:color w:val="2D2D2D"/>
          <w:sz w:val="16"/>
        </w:rPr>
        <w:t>Step 1: User clicks "Add Money" on Payment page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Step 2: POST /api/transactions/wallet/topup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Step 3: Payment Gateway validates UPI details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Step 4: User Service wallet balance updated (Feign)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Step 5: Transaction recorded as SUCCESS</w:t>
      </w:r>
    </w:p>
    <w:p w14:paraId="7494FDDD">
      <w:pPr>
        <w:pStyle w:val="3"/>
      </w:pPr>
      <w:r>
        <w:t>4.3 Circuit Breaker Flow</w:t>
      </w:r>
    </w:p>
    <w:p w14:paraId="67ACFAC2">
      <w:pPr>
        <w:pBdr>
          <w:top w:val="single" w:color="D8E1EA" w:sz="4" w:space="4"/>
          <w:left w:val="single" w:color="D8E1EA" w:sz="4" w:space="4"/>
          <w:bottom w:val="single" w:color="D8E1EA" w:sz="4" w:space="4"/>
          <w:right w:val="single" w:color="D8E1EA" w:sz="4" w:space="4"/>
        </w:pBdr>
        <w:shd w:val="clear" w:fill="F5F7FA"/>
        <w:spacing w:before="80" w:after="160" w:line="240" w:lineRule="auto"/>
      </w:pPr>
      <w:r>
        <w:rPr>
          <w:rFonts w:ascii="Consolas" w:hAnsi="Consolas" w:eastAsia="Consolas"/>
          <w:b w:val="0"/>
          <w:i w:val="0"/>
          <w:color w:val="2D2D2D"/>
          <w:sz w:val="16"/>
        </w:rPr>
        <w:t>Payment SUCCESS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Attempt 1: Call Recharge Service → FAILED (service down)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Wait 30 seconds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Attempt 2: Call Recharge Service → FAILED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Wait 30 seconds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... (up to 6 attempts)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All retries exhausted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Mark transaction as REFUND_PENDING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If WALLET payment: auto-refund to user's wallet</w:t>
      </w:r>
      <w:r>
        <w:rPr>
          <w:rFonts w:ascii="Consolas" w:hAnsi="Consolas" w:eastAsia="Consolas"/>
          <w:b w:val="0"/>
          <w:i w:val="0"/>
          <w:color w:val="2D2D2D"/>
          <w:sz w:val="16"/>
        </w:rPr>
        <w:br w:type="textWrapping"/>
      </w:r>
      <w:r>
        <w:rPr>
          <w:rFonts w:ascii="Consolas" w:hAnsi="Consolas" w:eastAsia="Consolas"/>
          <w:b w:val="0"/>
          <w:i w:val="0"/>
          <w:color w:val="2D2D2D"/>
          <w:sz w:val="16"/>
        </w:rPr>
        <w:t xml:space="preserve">    → Send refund notification email</w:t>
      </w:r>
    </w:p>
    <w:p w14:paraId="484D9512">
      <w:pPr>
        <w:pBdr>
          <w:bottom w:val="single" w:color="D7DEE7" w:sz="6" w:space="2"/>
        </w:pBdr>
        <w:spacing w:before="0" w:after="80" w:line="259" w:lineRule="auto"/>
      </w:pPr>
    </w:p>
    <w:p w14:paraId="40963E24">
      <w:pPr>
        <w:pStyle w:val="2"/>
      </w:pPr>
      <w:r>
        <w:t>5. Infrastructure &amp; Deployment</w:t>
      </w:r>
    </w:p>
    <w:p w14:paraId="0A41755B">
      <w:pPr>
        <w:pStyle w:val="3"/>
      </w:pPr>
      <w:r>
        <w:t>5.1 Docker Compose Services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021"/>
        <w:gridCol w:w="1383"/>
        <w:gridCol w:w="3829"/>
      </w:tblGrid>
      <w:tr w14:paraId="2E4B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1C850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Service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82135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Image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9AE4F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Port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shd w:val="clear" w:color="auto" w:fill="D9EA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3FA40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43758"/>
                <w:sz w:val="17"/>
              </w:rPr>
              <w:t>Dependencies</w:t>
            </w:r>
          </w:p>
        </w:tc>
      </w:tr>
      <w:tr w14:paraId="0B76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80C09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PostgreSQL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7B08D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postgres:latest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2365E9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5432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A38F4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—</w:t>
            </w:r>
          </w:p>
        </w:tc>
      </w:tr>
      <w:tr w14:paraId="1E9E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718EB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Redis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E6FB1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redis:latest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D692A7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6379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4F147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—</w:t>
            </w:r>
          </w:p>
        </w:tc>
      </w:tr>
      <w:tr w14:paraId="0176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DED5D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RabbitMQ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266B9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rabbitmq:management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9FFDCA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5672, 15672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BE446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—</w:t>
            </w:r>
          </w:p>
        </w:tc>
      </w:tr>
      <w:tr w14:paraId="5573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E2BE7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Zipkin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BBE8C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openzipkin/zipkin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8C2D00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9411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7A2F0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—</w:t>
            </w:r>
          </w:p>
        </w:tc>
      </w:tr>
      <w:tr w14:paraId="1A0A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D8098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Eureka Server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B0D49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C0D15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8761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9755D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—</w:t>
            </w:r>
          </w:p>
        </w:tc>
      </w:tr>
      <w:tr w14:paraId="1B48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A0B30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Config Server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ED08E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807B78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8888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23390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Eureka</w:t>
            </w:r>
          </w:p>
        </w:tc>
      </w:tr>
      <w:tr w14:paraId="5EE5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2ACE0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User Service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EFF7D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8326D2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8081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16F5B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PostgreSQL, Eureka, Config</w:t>
            </w:r>
          </w:p>
        </w:tc>
      </w:tr>
      <w:tr w14:paraId="05C8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34C90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Operator Service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C8252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E5F4C5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8082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F53E3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PostgreSQL, Redis, Eureka, Config</w:t>
            </w:r>
          </w:p>
        </w:tc>
      </w:tr>
      <w:tr w14:paraId="3D92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64F41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Recharge Service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3AD851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CBB71B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8083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095D8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PostgreSQL, RabbitMQ, Eureka, Config</w:t>
            </w:r>
          </w:p>
        </w:tc>
      </w:tr>
      <w:tr w14:paraId="65B6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69526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Payment Service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7ADA0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0C7DB7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8084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CAA34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PostgreSQL, RabbitMQ, Eureka, Config</w:t>
            </w:r>
          </w:p>
        </w:tc>
      </w:tr>
      <w:tr w14:paraId="564D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98013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Notification Service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4D8EBA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603B8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8085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0C8B8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RabbitMQ, Eureka, Config</w:t>
            </w:r>
          </w:p>
        </w:tc>
      </w:tr>
      <w:tr w14:paraId="4A62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08EEC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Angular Frontend</w:t>
            </w:r>
          </w:p>
        </w:tc>
        <w:tc>
          <w:tcPr>
            <w:tcW w:w="2021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AA290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Custom build</w:t>
            </w:r>
          </w:p>
        </w:tc>
        <w:tc>
          <w:tcPr>
            <w:tcW w:w="1383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B2E7DF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4200</w:t>
            </w:r>
          </w:p>
        </w:tc>
        <w:tc>
          <w:tcPr>
            <w:tcW w:w="3829" w:type="dxa"/>
            <w:tcBorders>
              <w:top w:val="single" w:color="BFC9D4" w:sz="6" w:space="0"/>
              <w:left w:val="single" w:color="BFC9D4" w:sz="6" w:space="0"/>
              <w:bottom w:val="single" w:color="BFC9D4" w:sz="6" w:space="0"/>
              <w:right w:val="single" w:color="BFC9D4" w:sz="6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2B4DA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32323"/>
                <w:sz w:val="17"/>
              </w:rPr>
              <w:t>API Gateway</w:t>
            </w:r>
          </w:p>
        </w:tc>
      </w:tr>
    </w:tbl>
    <w:p w14:paraId="1EA06CF1"/>
    <w:p w14:paraId="46076D8D">
      <w:pPr>
        <w:pStyle w:val="3"/>
      </w:pPr>
      <w:r>
        <w:t>5.2 Environment Variables</w:t>
      </w:r>
    </w:p>
    <w:p w14:paraId="3D6C921E">
      <w:pPr>
        <w:spacing w:before="0" w:after="140" w:line="259" w:lineRule="auto"/>
      </w:pPr>
      <w:r>
        <w:rPr>
          <w:rFonts w:ascii="Arial" w:hAnsi="Arial" w:eastAsia="Arial"/>
          <w:b w:val="0"/>
          <w:i w:val="0"/>
          <w:color w:val="232323"/>
          <w:sz w:val="24"/>
        </w:rPr>
        <w:t xml:space="preserve">All sensitive data (database passwords, JWT secrets, SMTP credentials, RabbitMQ passwords) are stored in a </w:t>
      </w:r>
      <w:r>
        <w:rPr>
          <w:rFonts w:ascii="Consolas" w:hAnsi="Consolas" w:eastAsia="Consolas"/>
          <w:b w:val="0"/>
          <w:i w:val="0"/>
          <w:color w:val="2D4D64"/>
          <w:sz w:val="23"/>
        </w:rPr>
        <w:t>.env</w:t>
      </w:r>
      <w:r>
        <w:rPr>
          <w:rFonts w:ascii="Arial" w:hAnsi="Arial" w:eastAsia="Arial"/>
          <w:b w:val="0"/>
          <w:i w:val="0"/>
          <w:color w:val="232323"/>
          <w:sz w:val="24"/>
        </w:rPr>
        <w:t xml:space="preserve"> file and injected via Docker Compose or </w:t>
      </w:r>
      <w:r>
        <w:rPr>
          <w:rFonts w:ascii="Consolas" w:hAnsi="Consolas" w:eastAsia="Consolas"/>
          <w:b w:val="0"/>
          <w:i w:val="0"/>
          <w:color w:val="2D4D64"/>
          <w:sz w:val="23"/>
        </w:rPr>
        <w:t>application.properties</w:t>
      </w:r>
      <w:r>
        <w:rPr>
          <w:rFonts w:ascii="Arial" w:hAnsi="Arial" w:eastAsia="Arial"/>
          <w:b w:val="0"/>
          <w:i w:val="0"/>
          <w:color w:val="232323"/>
          <w:sz w:val="24"/>
        </w:rPr>
        <w:t>. They are never hardcoded in source code.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AE921">
    <w:pPr>
      <w:pStyle w:val="18"/>
      <w:jc w:val="right"/>
    </w:pPr>
    <w:r>
      <w:rPr>
        <w:rFonts w:ascii="Arial" w:hAnsi="Arial" w:eastAsia="Arial"/>
        <w:b w:val="0"/>
        <w:i w:val="0"/>
        <w:color w:val="5F5F5F"/>
        <w:sz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96268">
    <w:pPr>
      <w:pStyle w:val="19"/>
      <w:pBdr>
        <w:bottom w:val="single" w:color="B7C9D6" w:sz="8" w:space="2"/>
      </w:pBdr>
      <w:spacing w:before="0" w:after="60" w:line="259" w:lineRule="auto"/>
    </w:pPr>
    <w:r>
      <w:rPr>
        <w:rFonts w:ascii="Arial" w:hAnsi="Arial" w:eastAsia="Arial"/>
        <w:b w:val="0"/>
        <w:i w:val="0"/>
        <w:color w:val="5F5F5F"/>
        <w:sz w:val="18"/>
      </w:rPr>
      <w:t>OmniCharge — Architecture &amp;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04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Arial" w:hAnsi="Arial" w:eastAsia="Arial" w:cstheme="minorBidi"/>
      <w:color w:val="232323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160"/>
      <w:ind w:left="720" w:hanging="360"/>
      <w:contextualSpacing/>
    </w:pPr>
    <w:rPr>
      <w:rFonts w:ascii="Arial" w:hAnsi="Arial" w:eastAsia="Arial"/>
      <w:sz w:val="24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spacing w:after="160"/>
      <w:ind w:left="720" w:hanging="360"/>
      <w:contextualSpacing/>
    </w:pPr>
    <w:rPr>
      <w:rFonts w:ascii="Arial" w:hAnsi="Arial" w:eastAsia="Arial"/>
      <w:sz w:val="24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spacing w:before="0" w:after="280"/>
    </w:pPr>
    <w:rPr>
      <w:rFonts w:asciiTheme="majorHAnsi" w:hAnsiTheme="majorHAnsi" w:eastAsiaTheme="majorEastAsia" w:cstheme="majorBidi"/>
      <w:i/>
      <w:iCs/>
      <w:color w:val="5F5F5F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2026-05-04T00:00:00Z</dcterms:created>
  <dc:creator>Sprint Team</dc:creator>
  <dc:description>generated by python-docx</dc:description>
  <cp:lastModifiedBy>Narayana Swami Talla</cp:lastModifiedBy>
  <dcterms:modified xsi:type="dcterms:W3CDTF">2026-05-03T18:51:20Z</dcterms:modified>
  <dc:subject>OmniCharge project document</dc:subject>
  <dc:title>OmniCharge — Architecture &amp; Design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D8C085C052274981A376E3760D25308B_12</vt:lpwstr>
  </property>
</Properties>
</file>