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6B4C3B"/>
          <w:sz w:val="44"/>
        </w:rPr>
        <w:t>Taylor-Made Baby Co.</w:t>
      </w:r>
    </w:p>
    <w:p>
      <w:pPr>
        <w:jc w:val="center"/>
      </w:pPr>
      <w:r>
        <w:rPr>
          <w:rFonts w:ascii="Arial" w:hAnsi="Arial"/>
          <w:color w:val="4A3F3A"/>
          <w:sz w:val="28"/>
        </w:rPr>
        <w:t>Full Site Audit — June 2026</w:t>
      </w:r>
    </w:p>
    <w:p/>
    <w:p>
      <w:pPr>
        <w:jc w:val="center"/>
      </w:pPr>
      <w:r>
        <w:rPr>
          <w:rFonts w:ascii="Arial" w:hAnsi="Arial"/>
          <w:color w:val="6B4C3B"/>
        </w:rPr>
        <w:t>─────────────────────────</w:t>
      </w:r>
    </w:p>
    <w:p/>
    <w:p>
      <w:pPr>
        <w:jc w:val="center"/>
      </w:pPr>
      <w:r>
        <w:rPr>
          <w:rFonts w:ascii="Arial" w:hAnsi="Arial"/>
          <w:color w:val="8A7D76"/>
          <w:sz w:val="20"/>
        </w:rPr>
        <w:t>Scope: taylormadebabyco.com (live site) + codebase</w:t>
      </w:r>
    </w:p>
    <w:p>
      <w:pPr>
        <w:jc w:val="center"/>
      </w:pPr>
      <w:r>
        <w:rPr>
          <w:rFonts w:ascii="Arial" w:hAnsi="Arial"/>
          <w:color w:val="8A7D76"/>
          <w:sz w:val="18"/>
        </w:rPr>
        <w:t>Phases covered: Messaging · Homepage · UI/UX · Trust · Funnel · Academy · Blog · SEO/Technical · Recommendations</w:t>
      </w:r>
    </w:p>
    <w:p/>
    <w:p/>
    <w:p/>
    <w:p/>
    <w:p/>
    <w:p/>
    <w:p/>
    <w:p/>
    <w:p/>
    <w:p/>
    <w:p>
      <w:pPr>
        <w:jc w:val="center"/>
      </w:pPr>
      <w:r>
        <w:rPr>
          <w:rFonts w:ascii="Arial" w:hAnsi="Arial"/>
          <w:color w:val="8A7D76"/>
          <w:sz w:val="18"/>
        </w:rPr>
        <w:t>Prepared by Claude · registrywithtaylor@gmail.com</w:t>
      </w:r>
    </w:p>
    <w:p>
      <w:r>
        <w:br w:type="page"/>
      </w:r>
    </w:p>
    <w:p>
      <w:pPr>
        <w:spacing w:before="360" w:after="80"/>
        <w:pBdr>
          <w:bottom w:val="single" w:sz="6" w:space="1" w:color="6B4C3B"/>
        </w:pBdr>
      </w:pPr>
      <w:r>
        <w:rPr>
          <w:rFonts w:ascii="Arial" w:hAnsi="Arial"/>
          <w:b/>
          <w:color w:val="6B4C3B"/>
          <w:sz w:val="26"/>
        </w:rPr>
        <w:t>SECTION 1 — EXECUTIVE SUMMARY</w:t>
      </w:r>
    </w:p>
    <w:p>
      <w:pPr>
        <w:spacing w:before="40" w:after="80"/>
      </w:pPr>
      <w:r>
        <w:rPr>
          <w:rFonts w:ascii="Arial" w:hAnsi="Arial"/>
          <w:i w:val="0"/>
          <w:sz w:val="20"/>
        </w:rPr>
        <w:t>This audit covers the Taylor-Made Baby Co. website across ten dimensions. The site is well-designed and the brand voice is distinctive. The primary issues are structural: two parallel URL hierarchies (/academy/ and /learn/) create confusion, 29 fully-expanded academy modules exist in the codebase but are not deployed, and a cluster of CTA and copy inconsistencies erode the professionalism of an otherwise polished product.</w:t>
      </w:r>
    </w:p>
    <w:p>
      <w:pPr>
        <w:spacing w:before="40" w:after="80"/>
      </w:pPr>
      <w:r>
        <w:rPr>
          <w:rFonts w:ascii="Arial" w:hAnsi="Arial"/>
          <w:i w:val="0"/>
          <w:sz w:val="20"/>
        </w:rPr>
        <w:t>The table below summarises every finding with severity and recommended action.</w:t>
      </w:r>
    </w:p>
    <w:p/>
    <w:tbl>
      <w:tblPr>
        <w:tblStyle w:val="TableGrid"/>
        <w:tblW w:type="auto" w:w="0"/>
        <w:tblLook w:firstColumn="1" w:firstRow="1" w:lastColumn="0" w:lastRow="0" w:noHBand="0" w:noVBand="1" w:val="04A0"/>
      </w:tblPr>
      <w:tblGrid>
        <w:gridCol w:w="3120"/>
        <w:gridCol w:w="3120"/>
        <w:gridCol w:w="3120"/>
      </w:tblGrid>
      <w:tr>
        <w:tc>
          <w:tcPr>
            <w:tcW w:type="dxa" w:w="1584"/>
            <w:shd w:val="clear" w:color="auto" w:fill="4A3F3A"/>
          </w:tcPr>
          <w:p>
            <w:r>
              <w:rPr>
                <w:rFonts w:ascii="Arial" w:hAnsi="Arial"/>
                <w:b/>
                <w:color w:val="FFFFFF"/>
                <w:sz w:val="18"/>
              </w:rPr>
              <w:t>Severity</w:t>
            </w:r>
          </w:p>
        </w:tc>
        <w:tc>
          <w:tcPr>
            <w:tcW w:type="dxa" w:w="4464"/>
            <w:shd w:val="clear" w:color="auto" w:fill="4A3F3A"/>
          </w:tcPr>
          <w:p>
            <w:r>
              <w:rPr>
                <w:rFonts w:ascii="Arial" w:hAnsi="Arial"/>
                <w:b/>
                <w:color w:val="FFFFFF"/>
                <w:sz w:val="18"/>
              </w:rPr>
              <w:t>Finding</w:t>
            </w:r>
          </w:p>
        </w:tc>
        <w:tc>
          <w:tcPr>
            <w:tcW w:type="dxa" w:w="4032"/>
            <w:shd w:val="clear" w:color="auto" w:fill="4A3F3A"/>
          </w:tcPr>
          <w:p>
            <w:r>
              <w:rPr>
                <w:rFonts w:ascii="Arial" w:hAnsi="Arial"/>
                <w:b/>
                <w:color w:val="FFFFFF"/>
                <w:sz w:val="18"/>
              </w:rPr>
              <w:t>Recommendation</w:t>
            </w:r>
          </w:p>
        </w:tc>
      </w:tr>
      <w:tr>
        <w:tc>
          <w:tcPr>
            <w:tcW w:type="dxa" w:w="1584"/>
            <w:shd w:val="clear" w:color="auto" w:fill="F9E0E0"/>
          </w:tcPr>
          <w:p>
            <w:r>
              <w:rPr>
                <w:rFonts w:ascii="Arial" w:hAnsi="Arial"/>
                <w:sz w:val="18"/>
              </w:rPr>
              <w:t>CRITICAL</w:t>
            </w:r>
          </w:p>
        </w:tc>
        <w:tc>
          <w:tcPr>
            <w:tcW w:type="dxa" w:w="4464"/>
            <w:shd w:val="clear" w:color="auto" w:fill="F9E0E0"/>
          </w:tcPr>
          <w:p>
            <w:r>
              <w:rPr>
                <w:rFonts w:ascii="Arial" w:hAnsi="Arial"/>
                <w:sz w:val="18"/>
              </w:rPr>
              <w:t>/academy/* routes redirect to /learn/waitlist — 29 modules not live</w:t>
            </w:r>
          </w:p>
        </w:tc>
        <w:tc>
          <w:tcPr>
            <w:tcW w:type="dxa" w:w="4032"/>
            <w:shd w:val="clear" w:color="auto" w:fill="F9E0E0"/>
          </w:tcPr>
          <w:p>
            <w:r>
              <w:rPr>
                <w:rFonts w:ascii="Arial" w:hAnsi="Arial"/>
                <w:sz w:val="18"/>
              </w:rPr>
              <w:t>Deploy or clearly gate path content; update /academy to preview module titles/hooks</w:t>
            </w:r>
          </w:p>
        </w:tc>
      </w:tr>
      <w:tr>
        <w:tc>
          <w:tcPr>
            <w:tcW w:type="dxa" w:w="1584"/>
            <w:shd w:val="clear" w:color="auto" w:fill="F9E0E0"/>
          </w:tcPr>
          <w:p>
            <w:r>
              <w:rPr>
                <w:rFonts w:ascii="Arial" w:hAnsi="Arial"/>
                <w:sz w:val="18"/>
              </w:rPr>
              <w:t>CRITICAL</w:t>
            </w:r>
          </w:p>
        </w:tc>
        <w:tc>
          <w:tcPr>
            <w:tcW w:type="dxa" w:w="4464"/>
            <w:shd w:val="clear" w:color="auto" w:fill="F9E0E0"/>
          </w:tcPr>
          <w:p>
            <w:r>
              <w:rPr>
                <w:rFonts w:ascii="Arial" w:hAnsi="Arial"/>
                <w:sz w:val="18"/>
              </w:rPr>
              <w:t>Dual URL structure: /academy/ (marketing) vs /learn/ (content) — no clear hierarchy for users or search engines</w:t>
            </w:r>
          </w:p>
        </w:tc>
        <w:tc>
          <w:tcPr>
            <w:tcW w:type="dxa" w:w="4032"/>
            <w:shd w:val="clear" w:color="auto" w:fill="F9E0E0"/>
          </w:tcPr>
          <w:p>
            <w:r>
              <w:rPr>
                <w:rFonts w:ascii="Arial" w:hAnsi="Arial"/>
                <w:sz w:val="18"/>
              </w:rPr>
              <w:t>Decide on canonical structure; redirect or consolidate; update sitemap</w:t>
            </w:r>
          </w:p>
        </w:tc>
      </w:tr>
      <w:tr>
        <w:tc>
          <w:tcPr>
            <w:tcW w:type="dxa" w:w="1584"/>
            <w:shd w:val="clear" w:color="auto" w:fill="FEF0E0"/>
          </w:tcPr>
          <w:p>
            <w:r>
              <w:rPr>
                <w:rFonts w:ascii="Arial" w:hAnsi="Arial"/>
                <w:sz w:val="18"/>
              </w:rPr>
              <w:t>HIGH</w:t>
            </w:r>
          </w:p>
        </w:tc>
        <w:tc>
          <w:tcPr>
            <w:tcW w:type="dxa" w:w="4464"/>
            <w:shd w:val="clear" w:color="auto" w:fill="FEF0E0"/>
          </w:tcPr>
          <w:p>
            <w:r>
              <w:rPr>
                <w:rFonts w:ascii="Arial" w:hAnsi="Arial"/>
                <w:sz w:val="18"/>
              </w:rPr>
              <w:t>CTA label mismatch: 'Book a Free Consultation' vs 'Book a Consultation' across 27 files, 32 occurrences</w:t>
            </w:r>
          </w:p>
        </w:tc>
        <w:tc>
          <w:tcPr>
            <w:tcW w:type="dxa" w:w="4032"/>
            <w:shd w:val="clear" w:color="auto" w:fill="FEF0E0"/>
          </w:tcPr>
          <w:p>
            <w:r>
              <w:rPr>
                <w:rFonts w:ascii="Arial" w:hAnsi="Arial"/>
                <w:sz w:val="18"/>
              </w:rPr>
              <w:t>Standardise to one label sitewide; 'Book a Free Consultation' is stronger</w:t>
            </w:r>
          </w:p>
        </w:tc>
      </w:tr>
      <w:tr>
        <w:tc>
          <w:tcPr>
            <w:tcW w:type="dxa" w:w="1584"/>
            <w:shd w:val="clear" w:color="auto" w:fill="FEF0E0"/>
          </w:tcPr>
          <w:p>
            <w:r>
              <w:rPr>
                <w:rFonts w:ascii="Arial" w:hAnsi="Arial"/>
                <w:sz w:val="18"/>
              </w:rPr>
              <w:t>HIGH</w:t>
            </w:r>
          </w:p>
        </w:tc>
        <w:tc>
          <w:tcPr>
            <w:tcW w:type="dxa" w:w="4464"/>
            <w:shd w:val="clear" w:color="auto" w:fill="FEF0E0"/>
          </w:tcPr>
          <w:p>
            <w:r>
              <w:rPr>
                <w:rFonts w:ascii="Arial" w:hAnsi="Arial"/>
                <w:sz w:val="18"/>
              </w:rPr>
              <w:t>About page: 'Here's the tea' tone break — inconsistent with TMBC brand voice</w:t>
            </w:r>
          </w:p>
        </w:tc>
        <w:tc>
          <w:tcPr>
            <w:tcW w:type="dxa" w:w="4032"/>
            <w:shd w:val="clear" w:color="auto" w:fill="FEF0E0"/>
          </w:tcPr>
          <w:p>
            <w:r>
              <w:rPr>
                <w:rFonts w:ascii="Arial" w:hAnsi="Arial"/>
                <w:sz w:val="18"/>
              </w:rPr>
              <w:t>Rewrite to match calm, direct, function-first tone</w:t>
            </w:r>
          </w:p>
        </w:tc>
      </w:tr>
      <w:tr>
        <w:tc>
          <w:tcPr>
            <w:tcW w:type="dxa" w:w="1584"/>
            <w:shd w:val="clear" w:color="auto" w:fill="FEF0E0"/>
          </w:tcPr>
          <w:p>
            <w:r>
              <w:rPr>
                <w:rFonts w:ascii="Arial" w:hAnsi="Arial"/>
                <w:sz w:val="18"/>
              </w:rPr>
              <w:t>HIGH</w:t>
            </w:r>
          </w:p>
        </w:tc>
        <w:tc>
          <w:tcPr>
            <w:tcW w:type="dxa" w:w="4464"/>
            <w:shd w:val="clear" w:color="auto" w:fill="FEF0E0"/>
          </w:tcPr>
          <w:p>
            <w:r>
              <w:rPr>
                <w:rFonts w:ascii="Arial" w:hAnsi="Arial"/>
                <w:sz w:val="18"/>
              </w:rPr>
              <w:t>30+ affiliate/partner logos displayed without grouping or context on About page</w:t>
            </w:r>
          </w:p>
        </w:tc>
        <w:tc>
          <w:tcPr>
            <w:tcW w:type="dxa" w:w="4032"/>
            <w:shd w:val="clear" w:color="auto" w:fill="FEF0E0"/>
          </w:tcPr>
          <w:p>
            <w:r>
              <w:rPr>
                <w:rFonts w:ascii="Arial" w:hAnsi="Arial"/>
                <w:sz w:val="18"/>
              </w:rPr>
              <w:t>Curate to 8–12 most recognisable; add section label</w:t>
            </w:r>
          </w:p>
        </w:tc>
      </w:tr>
      <w:tr>
        <w:tc>
          <w:tcPr>
            <w:tcW w:type="dxa" w:w="1584"/>
            <w:shd w:val="clear" w:color="auto" w:fill="FEF0E0"/>
          </w:tcPr>
          <w:p>
            <w:r>
              <w:rPr>
                <w:rFonts w:ascii="Arial" w:hAnsi="Arial"/>
                <w:sz w:val="18"/>
              </w:rPr>
              <w:t>HIGH</w:t>
            </w:r>
          </w:p>
        </w:tc>
        <w:tc>
          <w:tcPr>
            <w:tcW w:type="dxa" w:w="4464"/>
            <w:shd w:val="clear" w:color="auto" w:fill="FEF0E0"/>
          </w:tcPr>
          <w:p>
            <w:r>
              <w:rPr>
                <w:rFonts w:ascii="Arial" w:hAnsi="Arial"/>
                <w:sz w:val="18"/>
              </w:rPr>
              <w:t>Blog post slug: 'untitled-post-5' for Nuna DEMI Icon article — affects SEO and credibility</w:t>
            </w:r>
          </w:p>
        </w:tc>
        <w:tc>
          <w:tcPr>
            <w:tcW w:type="dxa" w:w="4032"/>
            <w:shd w:val="clear" w:color="auto" w:fill="FEF0E0"/>
          </w:tcPr>
          <w:p>
            <w:r>
              <w:rPr>
                <w:rFonts w:ascii="Arial" w:hAnsi="Arial"/>
                <w:sz w:val="18"/>
              </w:rPr>
              <w:t>Rename slug to 'nuna-demi-icon-review' or similar; set up 301 redirect</w:t>
            </w:r>
          </w:p>
        </w:tc>
      </w:tr>
      <w:tr>
        <w:tc>
          <w:tcPr>
            <w:tcW w:type="dxa" w:w="1584"/>
            <w:shd w:val="clear" w:color="auto" w:fill="E0EBF9"/>
          </w:tcPr>
          <w:p>
            <w:r>
              <w:rPr>
                <w:rFonts w:ascii="Arial" w:hAnsi="Arial"/>
                <w:sz w:val="18"/>
              </w:rPr>
              <w:t>MEDIUM</w:t>
            </w:r>
          </w:p>
        </w:tc>
        <w:tc>
          <w:tcPr>
            <w:tcW w:type="dxa" w:w="4464"/>
            <w:shd w:val="clear" w:color="auto" w:fill="E0EBF9"/>
          </w:tcPr>
          <w:p>
            <w:r>
              <w:rPr>
                <w:rFonts w:ascii="Arial" w:hAnsi="Arial"/>
                <w:sz w:val="18"/>
              </w:rPr>
              <w:t>No price anchor on homepage — visitors don't see costs until /services</w:t>
            </w:r>
          </w:p>
        </w:tc>
        <w:tc>
          <w:tcPr>
            <w:tcW w:type="dxa" w:w="4032"/>
            <w:shd w:val="clear" w:color="auto" w:fill="E0EBF9"/>
          </w:tcPr>
          <w:p>
            <w:r>
              <w:rPr>
                <w:rFonts w:ascii="Arial" w:hAnsi="Arial"/>
                <w:sz w:val="18"/>
              </w:rPr>
              <w:t>Add a brief pricing tier summary or 'Starting from $97' on homepage</w:t>
            </w:r>
          </w:p>
        </w:tc>
      </w:tr>
      <w:tr>
        <w:tc>
          <w:tcPr>
            <w:tcW w:type="dxa" w:w="1584"/>
            <w:shd w:val="clear" w:color="auto" w:fill="E0EBF9"/>
          </w:tcPr>
          <w:p>
            <w:r>
              <w:rPr>
                <w:rFonts w:ascii="Arial" w:hAnsi="Arial"/>
                <w:sz w:val="18"/>
              </w:rPr>
              <w:t>MEDIUM</w:t>
            </w:r>
          </w:p>
        </w:tc>
        <w:tc>
          <w:tcPr>
            <w:tcW w:type="dxa" w:w="4464"/>
            <w:shd w:val="clear" w:color="auto" w:fill="E0EBF9"/>
          </w:tcPr>
          <w:p>
            <w:r>
              <w:rPr>
                <w:rFonts w:ascii="Arial" w:hAnsi="Arial"/>
                <w:sz w:val="18"/>
              </w:rPr>
              <w:t>Waitlist framing creates passive positioning ('join the waitlist' implies waiting)</w:t>
            </w:r>
          </w:p>
        </w:tc>
        <w:tc>
          <w:tcPr>
            <w:tcW w:type="dxa" w:w="4032"/>
            <w:shd w:val="clear" w:color="auto" w:fill="E0EBF9"/>
          </w:tcPr>
          <w:p>
            <w:r>
              <w:rPr>
                <w:rFonts w:ascii="Arial" w:hAnsi="Arial"/>
                <w:sz w:val="18"/>
              </w:rPr>
              <w:t>Test 'Get Early Access' or 'Reserve Your Spot' as higher-urgency alternatives</w:t>
            </w:r>
          </w:p>
        </w:tc>
      </w:tr>
      <w:tr>
        <w:tc>
          <w:tcPr>
            <w:tcW w:type="dxa" w:w="1584"/>
            <w:shd w:val="clear" w:color="auto" w:fill="E0EBF9"/>
          </w:tcPr>
          <w:p>
            <w:r>
              <w:rPr>
                <w:rFonts w:ascii="Arial" w:hAnsi="Arial"/>
                <w:sz w:val="18"/>
              </w:rPr>
              <w:t>MEDIUM</w:t>
            </w:r>
          </w:p>
        </w:tc>
        <w:tc>
          <w:tcPr>
            <w:tcW w:type="dxa" w:w="4464"/>
            <w:shd w:val="clear" w:color="auto" w:fill="E0EBF9"/>
          </w:tcPr>
          <w:p>
            <w:r>
              <w:rPr>
                <w:rFonts w:ascii="Arial" w:hAnsi="Arial"/>
                <w:sz w:val="18"/>
              </w:rPr>
              <w:t>Footer 'Journey' link (→ /#journey) appears in footer but not in main header nav</w:t>
            </w:r>
          </w:p>
        </w:tc>
        <w:tc>
          <w:tcPr>
            <w:tcW w:type="dxa" w:w="4032"/>
            <w:shd w:val="clear" w:color="auto" w:fill="E0EBF9"/>
          </w:tcPr>
          <w:p>
            <w:r>
              <w:rPr>
                <w:rFonts w:ascii="Arial" w:hAnsi="Arial"/>
                <w:sz w:val="18"/>
              </w:rPr>
              <w:t>Either add to nav or remove from footer to eliminate orphan link</w:t>
            </w:r>
          </w:p>
        </w:tc>
      </w:tr>
      <w:tr>
        <w:tc>
          <w:tcPr>
            <w:tcW w:type="dxa" w:w="1584"/>
            <w:shd w:val="clear" w:color="auto" w:fill="E0EBF9"/>
          </w:tcPr>
          <w:p>
            <w:r>
              <w:rPr>
                <w:rFonts w:ascii="Arial" w:hAnsi="Arial"/>
                <w:sz w:val="18"/>
              </w:rPr>
              <w:t>MEDIUM</w:t>
            </w:r>
          </w:p>
        </w:tc>
        <w:tc>
          <w:tcPr>
            <w:tcW w:type="dxa" w:w="4464"/>
            <w:shd w:val="clear" w:color="auto" w:fill="E0EBF9"/>
          </w:tcPr>
          <w:p>
            <w:r>
              <w:rPr>
                <w:rFonts w:ascii="Arial" w:hAnsi="Arial"/>
                <w:sz w:val="18"/>
              </w:rPr>
              <w:t>Monthly pricing ($14.99/mo) shown alongside $97 one-time — no framing to guide the decision</w:t>
            </w:r>
          </w:p>
        </w:tc>
        <w:tc>
          <w:tcPr>
            <w:tcW w:type="dxa" w:w="4032"/>
            <w:shd w:val="clear" w:color="auto" w:fill="E0EBF9"/>
          </w:tcPr>
          <w:p>
            <w:r>
              <w:rPr>
                <w:rFonts w:ascii="Arial" w:hAnsi="Arial"/>
                <w:sz w:val="18"/>
              </w:rPr>
              <w:t>Add expected usage duration note to help visitors self-select (e.g. 'Most families complete in 4 weeks')</w:t>
            </w:r>
          </w:p>
        </w:tc>
      </w:tr>
      <w:tr>
        <w:tc>
          <w:tcPr>
            <w:tcW w:type="dxa" w:w="1584"/>
            <w:shd w:val="clear" w:color="auto" w:fill="E0F5EA"/>
          </w:tcPr>
          <w:p>
            <w:r>
              <w:rPr>
                <w:rFonts w:ascii="Arial" w:hAnsi="Arial"/>
                <w:sz w:val="18"/>
              </w:rPr>
              <w:t>OPPORTUNITY</w:t>
            </w:r>
          </w:p>
        </w:tc>
        <w:tc>
          <w:tcPr>
            <w:tcW w:type="dxa" w:w="4464"/>
            <w:shd w:val="clear" w:color="auto" w:fill="E0F5EA"/>
          </w:tcPr>
          <w:p>
            <w:r>
              <w:rPr>
                <w:rFonts w:ascii="Arial" w:hAnsi="Arial"/>
                <w:sz w:val="18"/>
              </w:rPr>
              <w:t>CPST credential is buried — not above the fold on homepage or services page</w:t>
            </w:r>
          </w:p>
        </w:tc>
        <w:tc>
          <w:tcPr>
            <w:tcW w:type="dxa" w:w="4032"/>
            <w:shd w:val="clear" w:color="auto" w:fill="E0F5EA"/>
          </w:tcPr>
          <w:p>
            <w:r>
              <w:rPr>
                <w:rFonts w:ascii="Arial" w:hAnsi="Arial"/>
                <w:sz w:val="18"/>
              </w:rPr>
              <w:t>Lead with credential in hero section or service cards; it is a genuine differentiator</w:t>
            </w:r>
          </w:p>
        </w:tc>
      </w:tr>
      <w:tr>
        <w:tc>
          <w:tcPr>
            <w:tcW w:type="dxa" w:w="1584"/>
            <w:shd w:val="clear" w:color="auto" w:fill="E0F5EA"/>
          </w:tcPr>
          <w:p>
            <w:r>
              <w:rPr>
                <w:rFonts w:ascii="Arial" w:hAnsi="Arial"/>
                <w:sz w:val="18"/>
              </w:rPr>
              <w:t>OPPORTUNITY</w:t>
            </w:r>
          </w:p>
        </w:tc>
        <w:tc>
          <w:tcPr>
            <w:tcW w:type="dxa" w:w="4464"/>
            <w:shd w:val="clear" w:color="auto" w:fill="E0F5EA"/>
          </w:tcPr>
          <w:p>
            <w:r>
              <w:rPr>
                <w:rFonts w:ascii="Arial" w:hAnsi="Arial"/>
                <w:sz w:val="18"/>
              </w:rPr>
              <w:t>29 fully-written academy modules exist in codebase — ready to deploy</w:t>
            </w:r>
          </w:p>
        </w:tc>
        <w:tc>
          <w:tcPr>
            <w:tcW w:type="dxa" w:w="4032"/>
            <w:shd w:val="clear" w:color="auto" w:fill="E0F5EA"/>
          </w:tcPr>
          <w:p>
            <w:r>
              <w:rPr>
                <w:rFonts w:ascii="Arial" w:hAnsi="Arial"/>
                <w:sz w:val="18"/>
              </w:rPr>
              <w:t>Deploy behind enrollment gate or tease module titles on /academy to build anticipation</w:t>
            </w:r>
          </w:p>
        </w:tc>
      </w:tr>
      <w:tr>
        <w:tc>
          <w:tcPr>
            <w:tcW w:type="dxa" w:w="1584"/>
            <w:shd w:val="clear" w:color="auto" w:fill="E0F5EA"/>
          </w:tcPr>
          <w:p>
            <w:r>
              <w:rPr>
                <w:rFonts w:ascii="Arial" w:hAnsi="Arial"/>
                <w:sz w:val="18"/>
              </w:rPr>
              <w:t>OPPORTUNITY</w:t>
            </w:r>
          </w:p>
        </w:tc>
        <w:tc>
          <w:tcPr>
            <w:tcW w:type="dxa" w:w="4464"/>
            <w:shd w:val="clear" w:color="auto" w:fill="E0F5EA"/>
          </w:tcPr>
          <w:p>
            <w:r>
              <w:rPr>
                <w:rFonts w:ascii="Arial" w:hAnsi="Arial"/>
                <w:sz w:val="18"/>
              </w:rPr>
              <w:t>Free lesson CTAs send high-intent visitors to waitlist — consultation upsell missing</w:t>
            </w:r>
          </w:p>
        </w:tc>
        <w:tc>
          <w:tcPr>
            <w:tcW w:type="dxa" w:w="4032"/>
            <w:shd w:val="clear" w:color="auto" w:fill="E0F5EA"/>
          </w:tcPr>
          <w:p>
            <w:r>
              <w:rPr>
                <w:rFonts w:ascii="Arial" w:hAnsi="Arial"/>
                <w:sz w:val="18"/>
              </w:rPr>
              <w:t>Add 'Book a consultation instead' secondary CTA after free lesson completion</w:t>
            </w:r>
          </w:p>
        </w:tc>
      </w:tr>
    </w:tbl>
    <w:p/>
    <w:p>
      <w:r>
        <w:br w:type="page"/>
      </w:r>
    </w:p>
    <w:p>
      <w:pPr>
        <w:spacing w:before="360" w:after="80"/>
        <w:pBdr>
          <w:bottom w:val="single" w:sz="6" w:space="1" w:color="6B4C3B"/>
        </w:pBdr>
      </w:pPr>
      <w:r>
        <w:rPr>
          <w:rFonts w:ascii="Arial" w:hAnsi="Arial"/>
          <w:b/>
          <w:color w:val="6B4C3B"/>
          <w:sz w:val="26"/>
        </w:rPr>
        <w:t>SECTION 2 — MESSAGING &amp; BRAND VOICE</w:t>
      </w:r>
    </w:p>
    <w:p>
      <w:pPr>
        <w:spacing w:before="40" w:after="80"/>
      </w:pPr>
      <w:r>
        <w:rPr>
          <w:rFonts w:ascii="Arial" w:hAnsi="Arial"/>
          <w:i w:val="0"/>
          <w:sz w:val="20"/>
        </w:rPr>
        <w:t>TMBC's brand voice is well-defined: calm, direct, practical, trusting the reader's intelligence. It reads like a confident professional, not a lifestyle marketer. That voice holds up across the Academy modules and most marketing copy — with two notable breaks.</w:t>
      </w:r>
    </w:p>
    <w:p>
      <w:pPr>
        <w:spacing w:before="240" w:after="60"/>
      </w:pPr>
      <w:r>
        <w:rPr>
          <w:rFonts w:ascii="Arial" w:hAnsi="Arial"/>
          <w:b/>
          <w:color w:val="1A1412"/>
          <w:sz w:val="22"/>
        </w:rPr>
        <w:t>2.1 What's Working</w:t>
      </w:r>
    </w:p>
    <w:p>
      <w:pPr>
        <w:pStyle w:val="ListBullet"/>
        <w:spacing w:before="20" w:after="40"/>
        <w:ind w:left="360"/>
      </w:pPr>
      <w:r>
        <w:rPr>
          <w:rFonts w:ascii="Arial" w:hAnsi="Arial"/>
          <w:sz w:val="20"/>
        </w:rPr>
        <w:t>Homepage hero copy ('You don't need more stuff. You need the right stuff.') is sharp, position-defining, and immediately differentiating.</w:t>
      </w:r>
    </w:p>
    <w:p>
      <w:pPr>
        <w:pStyle w:val="ListBullet"/>
        <w:spacing w:before="20" w:after="40"/>
        <w:ind w:left="360"/>
      </w:pPr>
      <w:r>
        <w:rPr>
          <w:rFonts w:ascii="Arial" w:hAnsi="Arial"/>
          <w:sz w:val="20"/>
        </w:rPr>
        <w:t>Services page tone is consistent — clinical competence without coldness.</w:t>
      </w:r>
    </w:p>
    <w:p>
      <w:pPr>
        <w:pStyle w:val="ListBullet"/>
        <w:spacing w:before="20" w:after="40"/>
        <w:ind w:left="360"/>
      </w:pPr>
      <w:r>
        <w:rPr>
          <w:rFonts w:ascii="Arial" w:hAnsi="Arial"/>
          <w:sz w:val="20"/>
        </w:rPr>
        <w:t>Academy module subheads match the TMBC voice precisely: direct, specific, with zero marketing inflation.</w:t>
      </w:r>
    </w:p>
    <w:p>
      <w:pPr>
        <w:pStyle w:val="ListBullet"/>
        <w:spacing w:before="20" w:after="40"/>
        <w:ind w:left="360"/>
      </w:pPr>
      <w:r>
        <w:rPr>
          <w:rFonts w:ascii="Arial" w:hAnsi="Arial"/>
          <w:sz w:val="20"/>
        </w:rPr>
        <w:t>The FAQ is clear, useful, and reads like an honest human wrote it.</w:t>
      </w:r>
    </w:p>
    <w:p>
      <w:pPr>
        <w:spacing w:before="240" w:after="60"/>
      </w:pPr>
      <w:r>
        <w:rPr>
          <w:rFonts w:ascii="Arial" w:hAnsi="Arial"/>
          <w:b/>
          <w:color w:val="1A1412"/>
          <w:sz w:val="22"/>
        </w:rPr>
        <w:t>2.2 Issues Found</w:t>
      </w:r>
    </w:p>
    <w:p>
      <w:pPr>
        <w:spacing w:before="40" w:after="60"/>
        <w:ind w:left="288"/>
      </w:pPr>
      <w:r>
        <w:rPr>
          <w:rFonts w:ascii="Arial" w:hAnsi="Arial"/>
          <w:b/>
          <w:color w:val="C96C1E"/>
          <w:sz w:val="20"/>
        </w:rPr>
        <w:t xml:space="preserve">[HIGH] </w:t>
      </w:r>
      <w:r>
        <w:rPr>
          <w:rFonts w:ascii="Arial" w:hAnsi="Arial"/>
          <w:sz w:val="20"/>
        </w:rPr>
        <w:t>About page tone break: 'Here's the tea'</w:t>
      </w:r>
    </w:p>
    <w:p>
      <w:pPr>
        <w:spacing w:before="0" w:after="60"/>
        <w:ind w:left="792"/>
      </w:pPr>
      <w:r>
        <w:rPr>
          <w:rFonts w:ascii="Arial" w:hAnsi="Arial"/>
          <w:i/>
          <w:color w:val="8A7D76"/>
          <w:sz w:val="19"/>
        </w:rPr>
        <w:t>The About page uses 'Here's the tea' — a phrase that reads as social media slang, not TMBC's calm-authority register. It signals a different brand persona entirely. The content that follows is actually credible; the intro just undercuts it.</w:t>
      </w:r>
    </w:p>
    <w:p>
      <w:pPr>
        <w:spacing w:before="40" w:after="80"/>
      </w:pPr>
      <w:r>
        <w:rPr>
          <w:rFonts w:ascii="Arial" w:hAnsi="Arial"/>
          <w:i w:val="0"/>
          <w:sz w:val="20"/>
        </w:rPr>
        <w:t>Suggested replacement: Drop the idiom. Open with the substance: 'Taylor has built this practice on one principle: parents get better outcomes when they have the right information, not more of it.' That's the TMBC voice.</w:t>
      </w:r>
    </w:p>
    <w:p>
      <w:pPr>
        <w:spacing w:before="40" w:after="60"/>
        <w:ind w:left="288"/>
      </w:pPr>
      <w:r>
        <w:rPr>
          <w:rFonts w:ascii="Arial" w:hAnsi="Arial"/>
          <w:b/>
          <w:color w:val="2E5C8A"/>
          <w:sz w:val="20"/>
        </w:rPr>
        <w:t xml:space="preserve">[MEDIUM] </w:t>
      </w:r>
      <w:r>
        <w:rPr>
          <w:rFonts w:ascii="Arial" w:hAnsi="Arial"/>
          <w:sz w:val="20"/>
        </w:rPr>
        <w:t>CTA label inconsistency erodes trust at point of conversion</w:t>
      </w:r>
    </w:p>
    <w:p>
      <w:pPr>
        <w:spacing w:before="0" w:after="60"/>
        <w:ind w:left="792"/>
      </w:pPr>
      <w:r>
        <w:rPr>
          <w:rFonts w:ascii="Arial" w:hAnsi="Arial"/>
          <w:i/>
          <w:color w:val="8A7D76"/>
          <w:sz w:val="19"/>
        </w:rPr>
        <w:t>Found 32 occurrences across 27 files using either 'Book a Free Consultation' or 'Book a Consultation.' On a page that builds trust through precision, two different labels for the same action create micro-friction. Standardise to 'Book a Free Consultation' — 'Free' reduces perceived risk and is the stronger conversion prompt.</w:t>
      </w:r>
    </w:p>
    <w:p>
      <w:pPr>
        <w:spacing w:before="240" w:after="60"/>
      </w:pPr>
      <w:r>
        <w:rPr>
          <w:rFonts w:ascii="Arial" w:hAnsi="Arial"/>
          <w:b/>
          <w:color w:val="1A1412"/>
          <w:sz w:val="22"/>
        </w:rPr>
        <w:t>2.3 Tone Consistency by Page</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4A3F3A"/>
          </w:tcPr>
          <w:p>
            <w:r>
              <w:rPr>
                <w:rFonts w:ascii="Arial" w:hAnsi="Arial"/>
                <w:b/>
                <w:color w:val="FFFFFF"/>
                <w:sz w:val="18"/>
              </w:rPr>
              <w:t>Page</w:t>
            </w:r>
          </w:p>
        </w:tc>
        <w:tc>
          <w:tcPr>
            <w:tcW w:type="dxa" w:w="1728"/>
            <w:shd w:val="clear" w:color="auto" w:fill="4A3F3A"/>
          </w:tcPr>
          <w:p>
            <w:r>
              <w:rPr>
                <w:rFonts w:ascii="Arial" w:hAnsi="Arial"/>
                <w:b/>
                <w:color w:val="FFFFFF"/>
                <w:sz w:val="18"/>
              </w:rPr>
              <w:t>Tone Rating</w:t>
            </w:r>
          </w:p>
        </w:tc>
        <w:tc>
          <w:tcPr>
            <w:tcW w:type="dxa" w:w="6192"/>
            <w:shd w:val="clear" w:color="auto" w:fill="4A3F3A"/>
          </w:tcPr>
          <w:p>
            <w:r>
              <w:rPr>
                <w:rFonts w:ascii="Arial" w:hAnsi="Arial"/>
                <w:b/>
                <w:color w:val="FFFFFF"/>
                <w:sz w:val="18"/>
              </w:rPr>
              <w:t>Notes</w:t>
            </w:r>
          </w:p>
        </w:tc>
      </w:tr>
      <w:tr>
        <w:tc>
          <w:tcPr>
            <w:tcW w:type="dxa" w:w="2160"/>
          </w:tcPr>
          <w:p>
            <w:r>
              <w:rPr>
                <w:rFonts w:ascii="Arial" w:hAnsi="Arial"/>
                <w:sz w:val="18"/>
              </w:rPr>
              <w:t>Homepage</w:t>
            </w:r>
          </w:p>
        </w:tc>
        <w:tc>
          <w:tcPr>
            <w:tcW w:type="dxa" w:w="1728"/>
          </w:tcPr>
          <w:p>
            <w:r>
              <w:rPr>
                <w:rFonts w:ascii="Arial" w:hAnsi="Arial"/>
                <w:sz w:val="18"/>
              </w:rPr>
              <w:t>Strong</w:t>
            </w:r>
          </w:p>
        </w:tc>
        <w:tc>
          <w:tcPr>
            <w:tcW w:type="dxa" w:w="6192"/>
          </w:tcPr>
          <w:p>
            <w:r>
              <w:rPr>
                <w:rFonts w:ascii="Arial" w:hAnsi="Arial"/>
                <w:sz w:val="18"/>
              </w:rPr>
              <w:t>Hero and body copy match brand voice well</w:t>
            </w:r>
          </w:p>
        </w:tc>
      </w:tr>
      <w:tr>
        <w:tc>
          <w:tcPr>
            <w:tcW w:type="dxa" w:w="2160"/>
          </w:tcPr>
          <w:p>
            <w:r>
              <w:rPr>
                <w:rFonts w:ascii="Arial" w:hAnsi="Arial"/>
                <w:sz w:val="18"/>
              </w:rPr>
              <w:t>Services</w:t>
            </w:r>
          </w:p>
        </w:tc>
        <w:tc>
          <w:tcPr>
            <w:tcW w:type="dxa" w:w="1728"/>
          </w:tcPr>
          <w:p>
            <w:r>
              <w:rPr>
                <w:rFonts w:ascii="Arial" w:hAnsi="Arial"/>
                <w:sz w:val="18"/>
              </w:rPr>
              <w:t>Strong</w:t>
            </w:r>
          </w:p>
        </w:tc>
        <w:tc>
          <w:tcPr>
            <w:tcW w:type="dxa" w:w="6192"/>
          </w:tcPr>
          <w:p>
            <w:r>
              <w:rPr>
                <w:rFonts w:ascii="Arial" w:hAnsi="Arial"/>
                <w:sz w:val="18"/>
              </w:rPr>
              <w:t>Pricing framed with confidence, not apology</w:t>
            </w:r>
          </w:p>
        </w:tc>
      </w:tr>
      <w:tr>
        <w:tc>
          <w:tcPr>
            <w:tcW w:type="dxa" w:w="2160"/>
          </w:tcPr>
          <w:p>
            <w:r>
              <w:rPr>
                <w:rFonts w:ascii="Arial" w:hAnsi="Arial"/>
                <w:sz w:val="18"/>
              </w:rPr>
              <w:t>About</w:t>
            </w:r>
          </w:p>
        </w:tc>
        <w:tc>
          <w:tcPr>
            <w:tcW w:type="dxa" w:w="1728"/>
            <w:shd w:val="clear" w:color="auto" w:fill="FEF0E0"/>
          </w:tcPr>
          <w:p>
            <w:r>
              <w:rPr>
                <w:rFonts w:ascii="Arial" w:hAnsi="Arial"/>
                <w:sz w:val="18"/>
              </w:rPr>
              <w:t>Inconsistent</w:t>
            </w:r>
          </w:p>
        </w:tc>
        <w:tc>
          <w:tcPr>
            <w:tcW w:type="dxa" w:w="6192"/>
          </w:tcPr>
          <w:p>
            <w:r>
              <w:rPr>
                <w:rFonts w:ascii="Arial" w:hAnsi="Arial"/>
                <w:sz w:val="18"/>
              </w:rPr>
              <w:t>'Here's the tea' breaks register; rest is solid</w:t>
            </w:r>
          </w:p>
        </w:tc>
      </w:tr>
      <w:tr>
        <w:tc>
          <w:tcPr>
            <w:tcW w:type="dxa" w:w="2160"/>
          </w:tcPr>
          <w:p>
            <w:r>
              <w:rPr>
                <w:rFonts w:ascii="Arial" w:hAnsi="Arial"/>
                <w:sz w:val="18"/>
              </w:rPr>
              <w:t>Academy landing (/academy)</w:t>
            </w:r>
          </w:p>
        </w:tc>
        <w:tc>
          <w:tcPr>
            <w:tcW w:type="dxa" w:w="1728"/>
          </w:tcPr>
          <w:p>
            <w:r>
              <w:rPr>
                <w:rFonts w:ascii="Arial" w:hAnsi="Arial"/>
                <w:sz w:val="18"/>
              </w:rPr>
              <w:t>Good</w:t>
            </w:r>
          </w:p>
        </w:tc>
        <w:tc>
          <w:tcPr>
            <w:tcW w:type="dxa" w:w="6192"/>
          </w:tcPr>
          <w:p>
            <w:r>
              <w:rPr>
                <w:rFonts w:ascii="Arial" w:hAnsi="Arial"/>
                <w:sz w:val="18"/>
              </w:rPr>
              <w:t>Clear value prop; could be more specific about module depth</w:t>
            </w:r>
          </w:p>
        </w:tc>
      </w:tr>
      <w:tr>
        <w:tc>
          <w:tcPr>
            <w:tcW w:type="dxa" w:w="2160"/>
          </w:tcPr>
          <w:p>
            <w:r>
              <w:rPr>
                <w:rFonts w:ascii="Arial" w:hAnsi="Arial"/>
                <w:sz w:val="18"/>
              </w:rPr>
              <w:t>Free lessons (/learn/art-of-the-registry)</w:t>
            </w:r>
          </w:p>
        </w:tc>
        <w:tc>
          <w:tcPr>
            <w:tcW w:type="dxa" w:w="1728"/>
          </w:tcPr>
          <w:p>
            <w:r>
              <w:rPr>
                <w:rFonts w:ascii="Arial" w:hAnsi="Arial"/>
                <w:sz w:val="18"/>
              </w:rPr>
              <w:t>Strong</w:t>
            </w:r>
          </w:p>
        </w:tc>
        <w:tc>
          <w:tcPr>
            <w:tcW w:type="dxa" w:w="6192"/>
          </w:tcPr>
          <w:p>
            <w:r>
              <w:rPr>
                <w:rFonts w:ascii="Arial" w:hAnsi="Arial"/>
                <w:sz w:val="18"/>
              </w:rPr>
              <w:t>Consistent, educational, appropriately authoritative</w:t>
            </w:r>
          </w:p>
        </w:tc>
      </w:tr>
      <w:tr>
        <w:tc>
          <w:tcPr>
            <w:tcW w:type="dxa" w:w="2160"/>
          </w:tcPr>
          <w:p>
            <w:r>
              <w:rPr>
                <w:rFonts w:ascii="Arial" w:hAnsi="Arial"/>
                <w:sz w:val="18"/>
              </w:rPr>
              <w:t>Blog</w:t>
            </w:r>
          </w:p>
        </w:tc>
        <w:tc>
          <w:tcPr>
            <w:tcW w:type="dxa" w:w="1728"/>
          </w:tcPr>
          <w:p>
            <w:r>
              <w:rPr>
                <w:rFonts w:ascii="Arial" w:hAnsi="Arial"/>
                <w:sz w:val="18"/>
              </w:rPr>
              <w:t>Variable</w:t>
            </w:r>
          </w:p>
        </w:tc>
        <w:tc>
          <w:tcPr>
            <w:tcW w:type="dxa" w:w="6192"/>
          </w:tcPr>
          <w:p>
            <w:r>
              <w:rPr>
                <w:rFonts w:ascii="Arial" w:hAnsi="Arial"/>
                <w:sz w:val="18"/>
              </w:rPr>
              <w:t>Some posts match voice; titles occasionally clickbait-adjacent</w:t>
            </w:r>
          </w:p>
        </w:tc>
      </w:tr>
      <w:tr>
        <w:tc>
          <w:tcPr>
            <w:tcW w:type="dxa" w:w="2160"/>
          </w:tcPr>
          <w:p>
            <w:r>
              <w:rPr>
                <w:rFonts w:ascii="Arial" w:hAnsi="Arial"/>
                <w:sz w:val="18"/>
              </w:rPr>
              <w:t>FAQ</w:t>
            </w:r>
          </w:p>
        </w:tc>
        <w:tc>
          <w:tcPr>
            <w:tcW w:type="dxa" w:w="1728"/>
          </w:tcPr>
          <w:p>
            <w:r>
              <w:rPr>
                <w:rFonts w:ascii="Arial" w:hAnsi="Arial"/>
                <w:sz w:val="18"/>
              </w:rPr>
              <w:t>Strong</w:t>
            </w:r>
          </w:p>
        </w:tc>
        <w:tc>
          <w:tcPr>
            <w:tcW w:type="dxa" w:w="6192"/>
          </w:tcPr>
          <w:p>
            <w:r>
              <w:rPr>
                <w:rFonts w:ascii="Arial" w:hAnsi="Arial"/>
                <w:sz w:val="18"/>
              </w:rPr>
              <w:t>Honest, direct, practical</w:t>
            </w:r>
          </w:p>
        </w:tc>
      </w:tr>
      <w:tr>
        <w:tc>
          <w:tcPr>
            <w:tcW w:type="dxa" w:w="2160"/>
          </w:tcPr>
          <w:p>
            <w:r>
              <w:rPr>
                <w:rFonts w:ascii="Arial" w:hAnsi="Arial"/>
                <w:sz w:val="18"/>
              </w:rPr>
              <w:t>Waitlist (/learn/waitlist)</w:t>
            </w:r>
          </w:p>
        </w:tc>
        <w:tc>
          <w:tcPr>
            <w:tcW w:type="dxa" w:w="1728"/>
            <w:shd w:val="clear" w:color="auto" w:fill="FEF0E0"/>
          </w:tcPr>
          <w:p>
            <w:r>
              <w:rPr>
                <w:rFonts w:ascii="Arial" w:hAnsi="Arial"/>
                <w:sz w:val="18"/>
              </w:rPr>
              <w:t>Needs work</w:t>
            </w:r>
          </w:p>
        </w:tc>
        <w:tc>
          <w:tcPr>
            <w:tcW w:type="dxa" w:w="6192"/>
          </w:tcPr>
          <w:p>
            <w:r>
              <w:rPr>
                <w:rFonts w:ascii="Arial" w:hAnsi="Arial"/>
                <w:sz w:val="18"/>
              </w:rPr>
              <w:t>Passive framing; misses urgency opportunity</w:t>
            </w:r>
          </w:p>
        </w:tc>
      </w:tr>
    </w:tbl>
    <w:p/>
    <w:p>
      <w:r>
        <w:br w:type="page"/>
      </w:r>
    </w:p>
    <w:p>
      <w:pPr>
        <w:spacing w:before="360" w:after="80"/>
        <w:pBdr>
          <w:bottom w:val="single" w:sz="6" w:space="1" w:color="6B4C3B"/>
        </w:pBdr>
      </w:pPr>
      <w:r>
        <w:rPr>
          <w:rFonts w:ascii="Arial" w:hAnsi="Arial"/>
          <w:b/>
          <w:color w:val="6B4C3B"/>
          <w:sz w:val="26"/>
        </w:rPr>
        <w:t>SECTION 3 — HOMEPAGE</w:t>
      </w:r>
    </w:p>
    <w:p>
      <w:pPr>
        <w:spacing w:before="40" w:after="80"/>
      </w:pPr>
      <w:r>
        <w:rPr>
          <w:rFonts w:ascii="Arial" w:hAnsi="Arial"/>
          <w:i w:val="0"/>
          <w:sz w:val="20"/>
        </w:rPr>
        <w:t>The homepage does three things right: it has a clear premise, an immediate credential signal, and a visual hierarchy that doesn't compete with itself. What it's missing is a price anchor and a clear pathway for visitors who are ready to buy now versus those who want to learn first.</w:t>
      </w:r>
    </w:p>
    <w:p>
      <w:pPr>
        <w:spacing w:before="240" w:after="60"/>
      </w:pPr>
      <w:r>
        <w:rPr>
          <w:rFonts w:ascii="Arial" w:hAnsi="Arial"/>
          <w:b/>
          <w:color w:val="1A1412"/>
          <w:sz w:val="22"/>
        </w:rPr>
        <w:t>3.1 Strengths</w:t>
      </w:r>
    </w:p>
    <w:p>
      <w:pPr>
        <w:pStyle w:val="ListBullet"/>
        <w:spacing w:before="20" w:after="40"/>
        <w:ind w:left="360"/>
      </w:pPr>
      <w:r>
        <w:rPr>
          <w:rFonts w:ascii="Arial" w:hAnsi="Arial"/>
          <w:sz w:val="20"/>
        </w:rPr>
        <w:t>Hero copy is precise and benefit-led. No generic 'welcome to our site' throat-clearing.</w:t>
      </w:r>
    </w:p>
    <w:p>
      <w:pPr>
        <w:pStyle w:val="ListBullet"/>
        <w:spacing w:before="20" w:after="40"/>
        <w:ind w:left="360"/>
      </w:pPr>
      <w:r>
        <w:rPr>
          <w:rFonts w:ascii="Arial" w:hAnsi="Arial"/>
          <w:sz w:val="20"/>
        </w:rPr>
        <w:t>Social proof section (if present) reinforces trust without overwhelming the layout.</w:t>
      </w:r>
    </w:p>
    <w:p>
      <w:pPr>
        <w:pStyle w:val="ListBullet"/>
        <w:spacing w:before="20" w:after="40"/>
        <w:ind w:left="360"/>
      </w:pPr>
      <w:r>
        <w:rPr>
          <w:rFonts w:ascii="Arial" w:hAnsi="Arial"/>
          <w:sz w:val="20"/>
        </w:rPr>
        <w:t>The three-path structure (Registry · Nursery · Travel · Postpartum) is intuitive.</w:t>
      </w:r>
    </w:p>
    <w:p>
      <w:pPr>
        <w:pStyle w:val="ListBullet"/>
        <w:spacing w:before="20" w:after="40"/>
        <w:ind w:left="360"/>
      </w:pPr>
      <w:r>
        <w:rPr>
          <w:rFonts w:ascii="Arial" w:hAnsi="Arial"/>
          <w:sz w:val="20"/>
        </w:rPr>
        <w:t>Visual design: warm palette, restrained typography, confident whitespace.</w:t>
      </w:r>
    </w:p>
    <w:p>
      <w:pPr>
        <w:spacing w:before="240" w:after="60"/>
      </w:pPr>
      <w:r>
        <w:rPr>
          <w:rFonts w:ascii="Arial" w:hAnsi="Arial"/>
          <w:b/>
          <w:color w:val="1A1412"/>
          <w:sz w:val="22"/>
        </w:rPr>
        <w:t>3.2 Issues</w:t>
      </w:r>
    </w:p>
    <w:p>
      <w:pPr>
        <w:spacing w:before="40" w:after="60"/>
        <w:ind w:left="288"/>
      </w:pPr>
      <w:r>
        <w:rPr>
          <w:rFonts w:ascii="Arial" w:hAnsi="Arial"/>
          <w:b/>
          <w:color w:val="2E5C8A"/>
          <w:sz w:val="20"/>
        </w:rPr>
        <w:t xml:space="preserve">[MEDIUM] </w:t>
      </w:r>
      <w:r>
        <w:rPr>
          <w:rFonts w:ascii="Arial" w:hAnsi="Arial"/>
          <w:sz w:val="20"/>
        </w:rPr>
        <w:t>No price signal on homepage</w:t>
      </w:r>
    </w:p>
    <w:p>
      <w:pPr>
        <w:spacing w:before="0" w:after="60"/>
        <w:ind w:left="792"/>
      </w:pPr>
      <w:r>
        <w:rPr>
          <w:rFonts w:ascii="Arial" w:hAnsi="Arial"/>
          <w:i/>
          <w:color w:val="8A7D76"/>
          <w:sz w:val="19"/>
        </w:rPr>
        <w:t>Visitors land, get interested, then have to click to /services to find out what anything costs. Adding 'Services starting at $149' or a three-tier thumbnail near the CTA would reduce drop-off from visitors who just wanted to know if it's in their budget before clicking.</w:t>
      </w:r>
    </w:p>
    <w:p>
      <w:pPr>
        <w:spacing w:before="40" w:after="60"/>
        <w:ind w:left="288"/>
      </w:pPr>
      <w:r>
        <w:rPr>
          <w:rFonts w:ascii="Arial" w:hAnsi="Arial"/>
          <w:b/>
          <w:color w:val="2E7A4A"/>
          <w:sz w:val="20"/>
        </w:rPr>
        <w:t xml:space="preserve">[OPPORTUNITY] </w:t>
      </w:r>
      <w:r>
        <w:rPr>
          <w:rFonts w:ascii="Arial" w:hAnsi="Arial"/>
          <w:sz w:val="20"/>
        </w:rPr>
        <w:t>CPST credential not visible above the fold</w:t>
      </w:r>
    </w:p>
    <w:p>
      <w:pPr>
        <w:spacing w:before="0" w:after="60"/>
        <w:ind w:left="792"/>
      </w:pPr>
      <w:r>
        <w:rPr>
          <w:rFonts w:ascii="Arial" w:hAnsi="Arial"/>
          <w:i/>
          <w:color w:val="8A7D76"/>
          <w:sz w:val="19"/>
        </w:rPr>
        <w:t>The Certified Passenger Safety Technician credential appears on the About page and (later) on Services — but not on the homepage hero or near the top of the page. It's the single most compelling differentiator in this space. A three-word mention ('CPST-certified consultant') in the hero or beneath the CTA button would do significant work.</w:t>
      </w:r>
    </w:p>
    <w:p>
      <w:pPr>
        <w:spacing w:before="40" w:after="60"/>
        <w:ind w:left="288"/>
      </w:pPr>
      <w:r>
        <w:rPr>
          <w:rFonts w:ascii="Arial" w:hAnsi="Arial"/>
          <w:b/>
          <w:color w:val="2E5C8A"/>
          <w:sz w:val="20"/>
        </w:rPr>
        <w:t xml:space="preserve">[MEDIUM] </w:t>
      </w:r>
      <w:r>
        <w:rPr>
          <w:rFonts w:ascii="Arial" w:hAnsi="Arial"/>
          <w:sz w:val="20"/>
        </w:rPr>
        <w:t>Footer 'Journey' link (→ /#journey) not in header nav</w:t>
      </w:r>
    </w:p>
    <w:p>
      <w:pPr>
        <w:spacing w:before="0" w:after="60"/>
        <w:ind w:left="792"/>
      </w:pPr>
      <w:r>
        <w:rPr>
          <w:rFonts w:ascii="Arial" w:hAnsi="Arial"/>
          <w:i/>
          <w:color w:val="8A7D76"/>
          <w:sz w:val="19"/>
        </w:rPr>
        <w:t>The footer links to /#journey but that section/ID doesn't appear in the main navigation. Visitors who reach the footer and click it get a page-scroll experience with no way back. Either add 'How It Works' or 'Journey' to the nav, or remove the footer link.</w:t>
      </w:r>
    </w:p>
    <w:p>
      <w:pPr>
        <w:spacing w:before="240" w:after="60"/>
      </w:pPr>
      <w:r>
        <w:rPr>
          <w:rFonts w:ascii="Arial" w:hAnsi="Arial"/>
          <w:b/>
          <w:color w:val="1A1412"/>
          <w:sz w:val="22"/>
        </w:rPr>
        <w:t>3.3 Specific Copy Recommendations</w:t>
      </w:r>
    </w:p>
    <w:p>
      <w:pPr>
        <w:pStyle w:val="ListBullet"/>
        <w:spacing w:before="20" w:after="40"/>
        <w:ind w:left="360"/>
      </w:pPr>
      <w:r>
        <w:rPr>
          <w:rFonts w:ascii="Arial" w:hAnsi="Arial"/>
          <w:b/>
          <w:sz w:val="20"/>
        </w:rPr>
        <w:t xml:space="preserve">Hero subhead: </w:t>
      </w:r>
      <w:r>
        <w:rPr>
          <w:rFonts w:ascii="Arial" w:hAnsi="Arial"/>
          <w:sz w:val="20"/>
        </w:rPr>
        <w:t>Hero sub-copy: consider adding one line that names the target audience specifically. 'For parents who want the right gear — not every gear.' (or similar) helps visitors self-qualify faster.</w:t>
      </w:r>
    </w:p>
    <w:p>
      <w:pPr>
        <w:pStyle w:val="ListBullet"/>
        <w:spacing w:before="20" w:after="40"/>
        <w:ind w:left="360"/>
      </w:pPr>
      <w:r>
        <w:rPr>
          <w:rFonts w:ascii="Arial" w:hAnsi="Arial"/>
          <w:b/>
          <w:sz w:val="20"/>
        </w:rPr>
        <w:t xml:space="preserve">CTA placement: </w:t>
      </w:r>
      <w:r>
        <w:rPr>
          <w:rFonts w:ascii="Arial" w:hAnsi="Arial"/>
          <w:sz w:val="20"/>
        </w:rPr>
        <w:t>Primary CTA: if the main CTA is 'Book a Free Consultation,' it should appear consistently above the fold. If it's the Academy, the distinction should be clear.</w:t>
      </w:r>
    </w:p>
    <w:p>
      <w:r>
        <w:br w:type="page"/>
      </w:r>
    </w:p>
    <w:p>
      <w:pPr>
        <w:spacing w:before="360" w:after="80"/>
        <w:pBdr>
          <w:bottom w:val="single" w:sz="6" w:space="1" w:color="6B4C3B"/>
        </w:pBdr>
      </w:pPr>
      <w:r>
        <w:rPr>
          <w:rFonts w:ascii="Arial" w:hAnsi="Arial"/>
          <w:b/>
          <w:color w:val="6B4C3B"/>
          <w:sz w:val="26"/>
        </w:rPr>
        <w:t>SECTION 4 — UI/UX &amp; NAVIGATION</w:t>
      </w:r>
    </w:p>
    <w:p>
      <w:pPr>
        <w:spacing w:before="240" w:after="60"/>
      </w:pPr>
      <w:r>
        <w:rPr>
          <w:rFonts w:ascii="Arial" w:hAnsi="Arial"/>
          <w:b/>
          <w:color w:val="1A1412"/>
          <w:sz w:val="22"/>
        </w:rPr>
        <w:t>4.1 Navigation Structure</w:t>
      </w:r>
    </w:p>
    <w:p>
      <w:pPr>
        <w:spacing w:before="40" w:after="80"/>
      </w:pPr>
      <w:r>
        <w:rPr>
          <w:rFonts w:ascii="Arial" w:hAnsi="Arial"/>
          <w:i w:val="0"/>
          <w:sz w:val="20"/>
        </w:rPr>
        <w:t>The main nav links: Home · Services · About · Academy · Journal · Contact. This is clean and minimal. Three observations:</w:t>
      </w:r>
    </w:p>
    <w:p>
      <w:pPr>
        <w:spacing w:before="40" w:after="60"/>
        <w:ind w:left="288"/>
      </w:pPr>
      <w:r>
        <w:rPr>
          <w:rFonts w:ascii="Arial" w:hAnsi="Arial"/>
          <w:b/>
          <w:color w:val="2E5C8A"/>
          <w:sz w:val="20"/>
        </w:rPr>
        <w:t xml:space="preserve">[MEDIUM] </w:t>
      </w:r>
      <w:r>
        <w:rPr>
          <w:rFonts w:ascii="Arial" w:hAnsi="Arial"/>
          <w:sz w:val="20"/>
        </w:rPr>
        <w:t>Footer 'Journey' link not in main nav — orphan link</w:t>
      </w:r>
    </w:p>
    <w:p>
      <w:pPr>
        <w:spacing w:before="0" w:after="60"/>
        <w:ind w:left="792"/>
      </w:pPr>
      <w:r>
        <w:rPr>
          <w:rFonts w:ascii="Arial" w:hAnsi="Arial"/>
          <w:i/>
          <w:color w:val="8A7D76"/>
          <w:sz w:val="19"/>
        </w:rPr>
        <w:t>Already noted in Section 3. Either surface it (e.g., as 'How It Works') or remove the footer link.</w:t>
      </w:r>
    </w:p>
    <w:p>
      <w:pPr>
        <w:spacing w:before="40" w:after="60"/>
        <w:ind w:left="288"/>
      </w:pPr>
      <w:r>
        <w:rPr>
          <w:rFonts w:ascii="Arial" w:hAnsi="Arial"/>
          <w:b/>
          <w:color w:val="2E5C8A"/>
          <w:sz w:val="20"/>
        </w:rPr>
        <w:t xml:space="preserve">[MEDIUM] </w:t>
      </w:r>
      <w:r>
        <w:rPr>
          <w:rFonts w:ascii="Arial" w:hAnsi="Arial"/>
          <w:sz w:val="20"/>
        </w:rPr>
        <w:t>Conditional 'Sign in' in nav — context-dependent visibility</w:t>
      </w:r>
    </w:p>
    <w:p>
      <w:pPr>
        <w:spacing w:before="0" w:after="60"/>
        <w:ind w:left="792"/>
      </w:pPr>
      <w:r>
        <w:rPr>
          <w:rFonts w:ascii="Arial" w:hAnsi="Arial"/>
          <w:i/>
          <w:color w:val="8A7D76"/>
          <w:sz w:val="19"/>
        </w:rPr>
        <w:t>The 'Sign in' link appears only when no session is active. This is correct behavior, but it means logged-out visitors see a nav item that disappears after login — creating a micro-inconsistency. Make sure the 'My Academy' link fills the space cleanly post-login.</w:t>
      </w:r>
    </w:p>
    <w:p>
      <w:pPr>
        <w:spacing w:before="40" w:after="80"/>
      </w:pPr>
      <w:r>
        <w:rPr>
          <w:rFonts w:ascii="Arial" w:hAnsi="Arial"/>
          <w:i/>
          <w:sz w:val="20"/>
        </w:rPr>
        <w:t>'Academy' in the nav links to /academy, which is the marketing landing page — not the content hub at /learn. This is the most consequential UX issue on the site and is covered in detail in Section 7.</w:t>
      </w:r>
    </w:p>
    <w:p>
      <w:pPr>
        <w:spacing w:before="240" w:after="60"/>
      </w:pPr>
      <w:r>
        <w:rPr>
          <w:rFonts w:ascii="Arial" w:hAnsi="Arial"/>
          <w:b/>
          <w:color w:val="1A1412"/>
          <w:sz w:val="22"/>
        </w:rPr>
        <w:t>4.2 Mobile Experience</w:t>
      </w:r>
    </w:p>
    <w:p>
      <w:pPr>
        <w:pStyle w:val="ListBullet"/>
        <w:spacing w:before="20" w:after="40"/>
        <w:ind w:left="360"/>
      </w:pPr>
      <w:r>
        <w:rPr>
          <w:rFonts w:ascii="Arial" w:hAnsi="Arial"/>
          <w:sz w:val="20"/>
        </w:rPr>
        <w:t>Hamburger menu implementation looks functional (three-line animated toggle). Min-height 44px on touch targets meets accessibility guidelines.</w:t>
      </w:r>
    </w:p>
    <w:p>
      <w:pPr>
        <w:pStyle w:val="ListBullet"/>
        <w:spacing w:before="20" w:after="40"/>
        <w:ind w:left="360"/>
      </w:pPr>
      <w:r>
        <w:rPr>
          <w:rFonts w:ascii="Arial" w:hAnsi="Arial"/>
          <w:sz w:val="20"/>
        </w:rPr>
        <w:t>Mobile CTA 'Book a Free Consultation' is full-width — appropriate.</w:t>
      </w:r>
    </w:p>
    <w:p>
      <w:pPr>
        <w:pStyle w:val="ListBullet"/>
        <w:spacing w:before="20" w:after="40"/>
        <w:ind w:left="360"/>
      </w:pPr>
      <w:r>
        <w:rPr>
          <w:rFonts w:ascii="Arial" w:hAnsi="Arial"/>
          <w:sz w:val="20"/>
        </w:rPr>
        <w:t>Mobile nav closes on link click — correct behavior.</w:t>
      </w:r>
    </w:p>
    <w:p>
      <w:pPr>
        <w:spacing w:before="240" w:after="60"/>
      </w:pPr>
      <w:r>
        <w:rPr>
          <w:rFonts w:ascii="Arial" w:hAnsi="Arial"/>
          <w:b/>
          <w:color w:val="1A1412"/>
          <w:sz w:val="22"/>
        </w:rPr>
        <w:t>4.3 Accessibility Signals</w:t>
      </w:r>
    </w:p>
    <w:p>
      <w:pPr>
        <w:pStyle w:val="ListBullet"/>
        <w:spacing w:before="20" w:after="40"/>
        <w:ind w:left="360"/>
      </w:pPr>
      <w:r>
        <w:rPr>
          <w:rFonts w:ascii="Arial" w:hAnsi="Arial"/>
          <w:sz w:val="20"/>
        </w:rPr>
        <w:t>aria-current='page' is set on active nav links — correct.</w:t>
      </w:r>
    </w:p>
    <w:p>
      <w:pPr>
        <w:pStyle w:val="ListBullet"/>
        <w:spacing w:before="20" w:after="40"/>
        <w:ind w:left="360"/>
      </w:pPr>
      <w:r>
        <w:rPr>
          <w:rFonts w:ascii="Arial" w:hAnsi="Arial"/>
          <w:sz w:val="20"/>
        </w:rPr>
        <w:t>aria-expanded on hamburger toggle — correct.</w:t>
      </w:r>
    </w:p>
    <w:p>
      <w:pPr>
        <w:pStyle w:val="ListBullet"/>
        <w:spacing w:before="20" w:after="40"/>
        <w:ind w:left="360"/>
      </w:pPr>
      <w:r>
        <w:rPr>
          <w:rFonts w:ascii="Arial" w:hAnsi="Arial"/>
          <w:sz w:val="20"/>
        </w:rPr>
        <w:t>aria-label on hamburger button — correct.</w:t>
      </w:r>
    </w:p>
    <w:p>
      <w:pPr>
        <w:pStyle w:val="ListBullet"/>
        <w:spacing w:before="20" w:after="40"/>
        <w:ind w:left="360"/>
      </w:pPr>
      <w:r>
        <w:rPr>
          <w:rFonts w:ascii="Arial" w:hAnsi="Arial"/>
          <w:sz w:val="20"/>
        </w:rPr>
        <w:t>Skip-to-content link not verified in audit — worth checking.</w:t>
      </w:r>
    </w:p>
    <w:p>
      <w:pPr>
        <w:spacing w:before="240" w:after="60"/>
      </w:pPr>
      <w:r>
        <w:rPr>
          <w:rFonts w:ascii="Arial" w:hAnsi="Arial"/>
          <w:b/>
          <w:color w:val="1A1412"/>
          <w:sz w:val="22"/>
        </w:rPr>
        <w:t>4.4 Header Behaviour</w:t>
      </w:r>
    </w:p>
    <w:p>
      <w:pPr>
        <w:spacing w:before="40" w:after="80"/>
      </w:pPr>
      <w:r>
        <w:rPr>
          <w:rFonts w:ascii="Arial" w:hAnsi="Arial"/>
          <w:i w:val="0"/>
          <w:sz w:val="20"/>
        </w:rPr>
        <w:t>The header uses position: sticky on /learn/* and /academy/* routes, and position: fixed elsewhere. This is an intentional UX choice for the content hub (sticky keeps the nav always visible while reading). No issue, but it means two different scroll experiences exist sitewide — worth documenting for future design decisions.</w:t>
      </w:r>
    </w:p>
    <w:p>
      <w:r>
        <w:br w:type="page"/>
      </w:r>
    </w:p>
    <w:p>
      <w:pPr>
        <w:spacing w:before="360" w:after="80"/>
        <w:pBdr>
          <w:bottom w:val="single" w:sz="6" w:space="1" w:color="6B4C3B"/>
        </w:pBdr>
      </w:pPr>
      <w:r>
        <w:rPr>
          <w:rFonts w:ascii="Arial" w:hAnsi="Arial"/>
          <w:b/>
          <w:color w:val="6B4C3B"/>
          <w:sz w:val="26"/>
        </w:rPr>
        <w:t>SECTION 5 — TRUST &amp; CREDIBILITY</w:t>
      </w:r>
    </w:p>
    <w:p>
      <w:pPr>
        <w:spacing w:before="240" w:after="60"/>
      </w:pPr>
      <w:r>
        <w:rPr>
          <w:rFonts w:ascii="Arial" w:hAnsi="Arial"/>
          <w:b/>
          <w:color w:val="1A1412"/>
          <w:sz w:val="22"/>
        </w:rPr>
        <w:t>5.1 What's Working</w:t>
      </w:r>
    </w:p>
    <w:p>
      <w:pPr>
        <w:pStyle w:val="ListBullet"/>
        <w:spacing w:before="20" w:after="40"/>
        <w:ind w:left="360"/>
      </w:pPr>
      <w:r>
        <w:rPr>
          <w:rFonts w:ascii="Arial" w:hAnsi="Arial"/>
          <w:sz w:val="20"/>
        </w:rPr>
        <w:t>CPST certification is a genuine, verifiable differentiator. Most baby gear consultants are not certified. The credential matters.</w:t>
      </w:r>
    </w:p>
    <w:p>
      <w:pPr>
        <w:pStyle w:val="ListBullet"/>
        <w:spacing w:before="20" w:after="40"/>
        <w:ind w:left="360"/>
      </w:pPr>
      <w:r>
        <w:rPr>
          <w:rFonts w:ascii="Arial" w:hAnsi="Arial"/>
          <w:sz w:val="20"/>
        </w:rPr>
        <w:t>Specific pricing on /services ($149 / $547 / $997+) signals professionalism. Vague 'contact us for pricing' creates friction; TMBC avoids that.</w:t>
      </w:r>
    </w:p>
    <w:p>
      <w:pPr>
        <w:pStyle w:val="ListBullet"/>
        <w:spacing w:before="20" w:after="40"/>
        <w:ind w:left="360"/>
      </w:pPr>
      <w:r>
        <w:rPr>
          <w:rFonts w:ascii="Arial" w:hAnsi="Arial"/>
          <w:sz w:val="20"/>
        </w:rPr>
        <w:t>The free lessons (/learn/art-of-the-registry, /learn/nursery-foundations, /learn/stroller-foundations) are substantive, not teaser-thin. They build trust before asking for money.</w:t>
      </w:r>
    </w:p>
    <w:p>
      <w:pPr>
        <w:pStyle w:val="ListBullet"/>
        <w:spacing w:before="20" w:after="40"/>
        <w:ind w:left="360"/>
      </w:pPr>
      <w:r>
        <w:rPr>
          <w:rFonts w:ascii="Arial" w:hAnsi="Arial"/>
          <w:sz w:val="20"/>
        </w:rPr>
        <w:t>Consistent design quality throughout. A polished visual standard signals operational competence.</w:t>
      </w:r>
    </w:p>
    <w:p>
      <w:pPr>
        <w:spacing w:before="240" w:after="60"/>
      </w:pPr>
      <w:r>
        <w:rPr>
          <w:rFonts w:ascii="Arial" w:hAnsi="Arial"/>
          <w:b/>
          <w:color w:val="1A1412"/>
          <w:sz w:val="22"/>
        </w:rPr>
        <w:t>5.2 Issues</w:t>
      </w:r>
    </w:p>
    <w:p>
      <w:pPr>
        <w:spacing w:before="40" w:after="60"/>
        <w:ind w:left="288"/>
      </w:pPr>
      <w:r>
        <w:rPr>
          <w:rFonts w:ascii="Arial" w:hAnsi="Arial"/>
          <w:b/>
          <w:color w:val="C96C1E"/>
          <w:sz w:val="20"/>
        </w:rPr>
        <w:t xml:space="preserve">[HIGH] </w:t>
      </w:r>
      <w:r>
        <w:rPr>
          <w:rFonts w:ascii="Arial" w:hAnsi="Arial"/>
          <w:sz w:val="20"/>
        </w:rPr>
        <w:t>30+ affiliate/partner logos on About page — quantity undermines quality</w:t>
      </w:r>
    </w:p>
    <w:p>
      <w:pPr>
        <w:spacing w:before="0" w:after="60"/>
        <w:ind w:left="792"/>
      </w:pPr>
      <w:r>
        <w:rPr>
          <w:rFonts w:ascii="Arial" w:hAnsi="Arial"/>
          <w:i/>
          <w:color w:val="8A7D76"/>
          <w:sz w:val="19"/>
        </w:rPr>
        <w:t>The About page displays a large grid of affiliate and partner logos without grouping, context, or curation. The intent is to signal credibility through association. The effect is a visual wall that reads as 'here are all the brands I've worked with' rather than a curated statement. Recommend reducing to 8–12 of the most recognisable (e.g., Nuna, UPPAbaby, Cybex, Ergobaby) and labelling the section 'Featured Brands' or 'Trusted Partners.' The rest can be referenced in copy if needed.</w:t>
      </w:r>
    </w:p>
    <w:p>
      <w:pPr>
        <w:spacing w:before="40" w:after="60"/>
        <w:ind w:left="288"/>
      </w:pPr>
      <w:r>
        <w:rPr>
          <w:rFonts w:ascii="Arial" w:hAnsi="Arial"/>
          <w:b/>
          <w:color w:val="C96C1E"/>
          <w:sz w:val="20"/>
        </w:rPr>
        <w:t xml:space="preserve">[HIGH] </w:t>
      </w:r>
      <w:r>
        <w:rPr>
          <w:rFonts w:ascii="Arial" w:hAnsi="Arial"/>
          <w:sz w:val="20"/>
        </w:rPr>
        <w:t>Blog slug 'untitled-post-5' for Nuna DEMI Icon article</w:t>
      </w:r>
    </w:p>
    <w:p>
      <w:pPr>
        <w:spacing w:before="0" w:after="60"/>
        <w:ind w:left="792"/>
      </w:pPr>
      <w:r>
        <w:rPr>
          <w:rFonts w:ascii="Arial" w:hAnsi="Arial"/>
          <w:i/>
          <w:color w:val="8A7D76"/>
          <w:sz w:val="19"/>
        </w:rPr>
        <w:t>One blog post has the URL slug /blog/untitled-post-5 — this appears to be a draft that was published without setting a proper slug. It reads unprofessionally if shared or found via search. Fix: rename to something descriptive (e.g., /blog/nuna-demi-icon-review-2025) and set up a 301 redirect from the old slug. CMS platforms like Contentful or Sanity allow this without losing content.</w:t>
      </w:r>
    </w:p>
    <w:p>
      <w:pPr>
        <w:spacing w:before="40" w:after="60"/>
        <w:ind w:left="288"/>
      </w:pPr>
      <w:r>
        <w:rPr>
          <w:rFonts w:ascii="Arial" w:hAnsi="Arial"/>
          <w:b/>
          <w:color w:val="2E5C8A"/>
          <w:sz w:val="20"/>
        </w:rPr>
        <w:t xml:space="preserve">[MEDIUM] </w:t>
      </w:r>
      <w:r>
        <w:rPr>
          <w:rFonts w:ascii="Arial" w:hAnsi="Arial"/>
          <w:sz w:val="20"/>
        </w:rPr>
        <w:t>No visible testimonials on homepage or services page</w:t>
      </w:r>
    </w:p>
    <w:p>
      <w:pPr>
        <w:spacing w:before="0" w:after="60"/>
        <w:ind w:left="792"/>
      </w:pPr>
      <w:r>
        <w:rPr>
          <w:rFonts w:ascii="Arial" w:hAnsi="Arial"/>
          <w:i/>
          <w:color w:val="8A7D76"/>
          <w:sz w:val="19"/>
        </w:rPr>
        <w:t>Trust in this category is built partly through peer validation. If testimonials exist elsewhere, surface one or two specifically on the services page near the pricing section. They reduce purchase hesitation at the exact moment visitors are evaluating cost.</w:t>
      </w:r>
    </w:p>
    <w:p>
      <w:pPr>
        <w:spacing w:before="240" w:after="60"/>
      </w:pPr>
      <w:r>
        <w:rPr>
          <w:rFonts w:ascii="Arial" w:hAnsi="Arial"/>
          <w:b/>
          <w:color w:val="1A1412"/>
          <w:sz w:val="22"/>
        </w:rPr>
        <w:t>5.3 CPST Credential — Placement Recommendation</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4A3F3A"/>
          </w:tcPr>
          <w:p>
            <w:r>
              <w:rPr>
                <w:rFonts w:ascii="Arial" w:hAnsi="Arial"/>
                <w:b/>
                <w:color w:val="FFFFFF"/>
                <w:sz w:val="18"/>
              </w:rPr>
              <w:t>Location</w:t>
            </w:r>
          </w:p>
        </w:tc>
        <w:tc>
          <w:tcPr>
            <w:tcW w:type="dxa" w:w="2880"/>
            <w:shd w:val="clear" w:color="auto" w:fill="4A3F3A"/>
          </w:tcPr>
          <w:p>
            <w:r>
              <w:rPr>
                <w:rFonts w:ascii="Arial" w:hAnsi="Arial"/>
                <w:b/>
                <w:color w:val="FFFFFF"/>
                <w:sz w:val="18"/>
              </w:rPr>
              <w:t>Current State</w:t>
            </w:r>
          </w:p>
        </w:tc>
        <w:tc>
          <w:tcPr>
            <w:tcW w:type="dxa" w:w="4608"/>
            <w:shd w:val="clear" w:color="auto" w:fill="4A3F3A"/>
          </w:tcPr>
          <w:p>
            <w:r>
              <w:rPr>
                <w:rFonts w:ascii="Arial" w:hAnsi="Arial"/>
                <w:b/>
                <w:color w:val="FFFFFF"/>
                <w:sz w:val="18"/>
              </w:rPr>
              <w:t>Recommended</w:t>
            </w:r>
          </w:p>
        </w:tc>
      </w:tr>
      <w:tr>
        <w:tc>
          <w:tcPr>
            <w:tcW w:type="dxa" w:w="2592"/>
          </w:tcPr>
          <w:p>
            <w:r>
              <w:rPr>
                <w:rFonts w:ascii="Arial" w:hAnsi="Arial"/>
                <w:sz w:val="18"/>
              </w:rPr>
              <w:t>Homepage hero</w:t>
            </w:r>
          </w:p>
        </w:tc>
        <w:tc>
          <w:tcPr>
            <w:tcW w:type="dxa" w:w="2880"/>
            <w:shd w:val="clear" w:color="auto" w:fill="FEF0E0"/>
          </w:tcPr>
          <w:p>
            <w:r>
              <w:rPr>
                <w:rFonts w:ascii="Arial" w:hAnsi="Arial"/>
                <w:sz w:val="18"/>
              </w:rPr>
              <w:t>Not present</w:t>
            </w:r>
          </w:p>
        </w:tc>
        <w:tc>
          <w:tcPr>
            <w:tcW w:type="dxa" w:w="4608"/>
          </w:tcPr>
          <w:p>
            <w:r>
              <w:rPr>
                <w:rFonts w:ascii="Arial" w:hAnsi="Arial"/>
                <w:sz w:val="18"/>
              </w:rPr>
              <w:t>Add 'CPST-certified' in hero sub-copy or below CTA</w:t>
            </w:r>
          </w:p>
        </w:tc>
      </w:tr>
      <w:tr>
        <w:tc>
          <w:tcPr>
            <w:tcW w:type="dxa" w:w="2592"/>
          </w:tcPr>
          <w:p>
            <w:r>
              <w:rPr>
                <w:rFonts w:ascii="Arial" w:hAnsi="Arial"/>
                <w:sz w:val="18"/>
              </w:rPr>
              <w:t>Services page</w:t>
            </w:r>
          </w:p>
        </w:tc>
        <w:tc>
          <w:tcPr>
            <w:tcW w:type="dxa" w:w="2880"/>
          </w:tcPr>
          <w:p>
            <w:r>
              <w:rPr>
                <w:rFonts w:ascii="Arial" w:hAnsi="Arial"/>
                <w:sz w:val="18"/>
              </w:rPr>
              <w:t>Present (later in page)</w:t>
            </w:r>
          </w:p>
        </w:tc>
        <w:tc>
          <w:tcPr>
            <w:tcW w:type="dxa" w:w="4608"/>
          </w:tcPr>
          <w:p>
            <w:r>
              <w:rPr>
                <w:rFonts w:ascii="Arial" w:hAnsi="Arial"/>
                <w:sz w:val="18"/>
              </w:rPr>
              <w:t>Move above fold, near price tiers</w:t>
            </w:r>
          </w:p>
        </w:tc>
      </w:tr>
      <w:tr>
        <w:tc>
          <w:tcPr>
            <w:tcW w:type="dxa" w:w="2592"/>
          </w:tcPr>
          <w:p>
            <w:r>
              <w:rPr>
                <w:rFonts w:ascii="Arial" w:hAnsi="Arial"/>
                <w:sz w:val="18"/>
              </w:rPr>
              <w:t>About page</w:t>
            </w:r>
          </w:p>
        </w:tc>
        <w:tc>
          <w:tcPr>
            <w:tcW w:type="dxa" w:w="2880"/>
          </w:tcPr>
          <w:p>
            <w:r>
              <w:rPr>
                <w:rFonts w:ascii="Arial" w:hAnsi="Arial"/>
                <w:sz w:val="18"/>
              </w:rPr>
              <w:t>Present (detailed)</w:t>
            </w:r>
          </w:p>
        </w:tc>
        <w:tc>
          <w:tcPr>
            <w:tcW w:type="dxa" w:w="4608"/>
          </w:tcPr>
          <w:p>
            <w:r>
              <w:rPr>
                <w:rFonts w:ascii="Arial" w:hAnsi="Arial"/>
                <w:sz w:val="18"/>
              </w:rPr>
              <w:t>Keep; trim the surrounding copy slightly</w:t>
            </w:r>
          </w:p>
        </w:tc>
      </w:tr>
      <w:tr>
        <w:tc>
          <w:tcPr>
            <w:tcW w:type="dxa" w:w="2592"/>
          </w:tcPr>
          <w:p>
            <w:r>
              <w:rPr>
                <w:rFonts w:ascii="Arial" w:hAnsi="Arial"/>
                <w:sz w:val="18"/>
              </w:rPr>
              <w:t>Academy landing</w:t>
            </w:r>
          </w:p>
        </w:tc>
        <w:tc>
          <w:tcPr>
            <w:tcW w:type="dxa" w:w="2880"/>
            <w:shd w:val="clear" w:color="auto" w:fill="FEF0E0"/>
          </w:tcPr>
          <w:p>
            <w:r>
              <w:rPr>
                <w:rFonts w:ascii="Arial" w:hAnsi="Arial"/>
                <w:sz w:val="18"/>
              </w:rPr>
              <w:t>Not present</w:t>
            </w:r>
          </w:p>
        </w:tc>
        <w:tc>
          <w:tcPr>
            <w:tcW w:type="dxa" w:w="4608"/>
          </w:tcPr>
          <w:p>
            <w:r>
              <w:rPr>
                <w:rFonts w:ascii="Arial" w:hAnsi="Arial"/>
                <w:sz w:val="18"/>
              </w:rPr>
              <w:t>Add one line: 'Built by a CPST-certified consultant'</w:t>
            </w:r>
          </w:p>
        </w:tc>
      </w:tr>
    </w:tbl>
    <w:p>
      <w:r>
        <w:br w:type="page"/>
      </w:r>
    </w:p>
    <w:p>
      <w:pPr>
        <w:spacing w:before="360" w:after="80"/>
        <w:pBdr>
          <w:bottom w:val="single" w:sz="6" w:space="1" w:color="6B4C3B"/>
        </w:pBdr>
      </w:pPr>
      <w:r>
        <w:rPr>
          <w:rFonts w:ascii="Arial" w:hAnsi="Arial"/>
          <w:b/>
          <w:color w:val="6B4C3B"/>
          <w:sz w:val="26"/>
        </w:rPr>
        <w:t>SECTION 6 — CONVERSION FUNNEL</w:t>
      </w:r>
    </w:p>
    <w:p>
      <w:pPr>
        <w:spacing w:before="40" w:after="80"/>
      </w:pPr>
      <w:r>
        <w:rPr>
          <w:rFonts w:ascii="Arial" w:hAnsi="Arial"/>
          <w:i w:val="0"/>
          <w:sz w:val="20"/>
        </w:rPr>
        <w:t>TMBC has two primary conversion goals: (1) book a paid consultation and (2) enroll in the Academy. These funnels currently operate mostly independently, without clear handoffs between them. There are also missed conversion moments at the end of free lessons.</w:t>
      </w:r>
    </w:p>
    <w:p>
      <w:pPr>
        <w:spacing w:before="240" w:after="60"/>
      </w:pPr>
      <w:r>
        <w:rPr>
          <w:rFonts w:ascii="Arial" w:hAnsi="Arial"/>
          <w:b/>
          <w:color w:val="1A1412"/>
          <w:sz w:val="22"/>
        </w:rPr>
        <w:t>6.1 Consultation Funnel</w:t>
      </w:r>
    </w:p>
    <w:p>
      <w:pPr>
        <w:pStyle w:val="ListBullet"/>
        <w:spacing w:before="20" w:after="40"/>
        <w:ind w:left="360"/>
      </w:pPr>
      <w:r>
        <w:rPr>
          <w:rFonts w:ascii="Arial" w:hAnsi="Arial"/>
          <w:sz w:val="20"/>
        </w:rPr>
        <w:t>Entry: homepage hero CTA, nav CTA, services page</w:t>
      </w:r>
    </w:p>
    <w:p>
      <w:pPr>
        <w:pStyle w:val="ListBullet"/>
        <w:spacing w:before="20" w:after="40"/>
        <w:ind w:left="360"/>
      </w:pPr>
      <w:r>
        <w:rPr>
          <w:rFonts w:ascii="Arial" w:hAnsi="Arial"/>
          <w:sz w:val="20"/>
        </w:rPr>
        <w:t>Destination: /consultation</w:t>
      </w:r>
    </w:p>
    <w:p>
      <w:pPr>
        <w:pStyle w:val="ListBullet"/>
        <w:spacing w:before="20" w:after="40"/>
        <w:ind w:left="360"/>
      </w:pPr>
      <w:r>
        <w:rPr>
          <w:rFonts w:ascii="Arial" w:hAnsi="Arial"/>
          <w:sz w:val="20"/>
        </w:rPr>
        <w:t>CTA label inconsistency (covered in Section 2) creates micro-friction at entry points</w:t>
      </w:r>
    </w:p>
    <w:p>
      <w:pPr>
        <w:pStyle w:val="ListBullet"/>
        <w:spacing w:before="20" w:after="40"/>
        <w:ind w:left="360"/>
      </w:pPr>
      <w:r>
        <w:rPr>
          <w:rFonts w:ascii="Arial" w:hAnsi="Arial"/>
          <w:sz w:val="20"/>
        </w:rPr>
        <w:t>No price-anchor on homepage means some visitors click through only to leave on sticker shock</w:t>
      </w:r>
    </w:p>
    <w:p>
      <w:pPr>
        <w:pStyle w:val="ListBullet"/>
        <w:spacing w:before="20" w:after="40"/>
        <w:ind w:left="360"/>
      </w:pPr>
      <w:r>
        <w:rPr>
          <w:rFonts w:ascii="Arial" w:hAnsi="Arial"/>
          <w:sz w:val="20"/>
        </w:rPr>
        <w:t>The /services page pricing ($149/$547/$997+) is clear; the issue is that visitors need to find it</w:t>
      </w:r>
    </w:p>
    <w:p>
      <w:pPr>
        <w:spacing w:before="40" w:after="60"/>
        <w:ind w:left="288"/>
      </w:pPr>
      <w:r>
        <w:rPr>
          <w:rFonts w:ascii="Arial" w:hAnsi="Arial"/>
          <w:b/>
          <w:color w:val="2E7A4A"/>
          <w:sz w:val="20"/>
        </w:rPr>
        <w:t xml:space="preserve">[OPPORTUNITY] </w:t>
      </w:r>
      <w:r>
        <w:rPr>
          <w:rFonts w:ascii="Arial" w:hAnsi="Arial"/>
          <w:sz w:val="20"/>
        </w:rPr>
        <w:t>Free lesson completers should see a consultation CTA</w:t>
      </w:r>
    </w:p>
    <w:p>
      <w:pPr>
        <w:spacing w:before="0" w:after="60"/>
        <w:ind w:left="792"/>
      </w:pPr>
      <w:r>
        <w:rPr>
          <w:rFonts w:ascii="Arial" w:hAnsi="Arial"/>
          <w:i/>
          <w:color w:val="8A7D76"/>
          <w:sz w:val="19"/>
        </w:rPr>
        <w:t>The three live free lessons (/learn/art-of-the-registry, /learn/nursery-foundations, /learn/stroller-foundations) currently end with 'Unlock the Complete Academy → waitlist.' A visitor who just finished a substantive free lesson is high-intent. Adding a secondary CTA — 'Or book a 1:1 consultation instead →' — would capture visitors who want personalised help over self-paced learning. This is currently a missed conversion moment.</w:t>
      </w:r>
    </w:p>
    <w:p>
      <w:pPr>
        <w:spacing w:before="240" w:after="60"/>
      </w:pPr>
      <w:r>
        <w:rPr>
          <w:rFonts w:ascii="Arial" w:hAnsi="Arial"/>
          <w:b/>
          <w:color w:val="1A1412"/>
          <w:sz w:val="22"/>
        </w:rPr>
        <w:t>6.2 Academy Funnel</w:t>
      </w:r>
    </w:p>
    <w:p>
      <w:pPr>
        <w:spacing w:before="40" w:after="60"/>
        <w:ind w:left="288"/>
      </w:pPr>
      <w:r>
        <w:rPr>
          <w:rFonts w:ascii="Arial" w:hAnsi="Arial"/>
          <w:b/>
          <w:color w:val="B82C2C"/>
          <w:sz w:val="20"/>
        </w:rPr>
        <w:t xml:space="preserve">[CRITICAL] </w:t>
      </w:r>
      <w:r>
        <w:rPr>
          <w:rFonts w:ascii="Arial" w:hAnsi="Arial"/>
          <w:sz w:val="20"/>
        </w:rPr>
        <w:t>/academy/registry and all path-level routes redirect to /learn/waitlist</w:t>
      </w:r>
    </w:p>
    <w:p>
      <w:pPr>
        <w:spacing w:before="0" w:after="60"/>
        <w:ind w:left="792"/>
      </w:pPr>
      <w:r>
        <w:rPr>
          <w:rFonts w:ascii="Arial" w:hAnsi="Arial"/>
          <w:i/>
          <w:color w:val="8A7D76"/>
          <w:sz w:val="19"/>
        </w:rPr>
        <w:t>The full Academy (all four paths, 29 modules) is not deployed to the live site. Visitors who navigate to /academy/registry, /academy/nursery, /academy/stroller, or /academy/postpartum are silently redirected to a waitlist page with no explanation. This is the most significant funnel gap on the site.</w:t>
      </w:r>
    </w:p>
    <w:p>
      <w:pPr>
        <w:spacing w:before="40" w:after="80"/>
      </w:pPr>
      <w:r>
        <w:rPr>
          <w:rFonts w:ascii="Arial" w:hAnsi="Arial"/>
          <w:i w:val="0"/>
          <w:sz w:val="20"/>
        </w:rPr>
        <w:t>Current state: the middleware gates all /learn/* routes except five public paths. The Academy module content exists fully in the codebase (nurseryModules.ts, postpartumModules.ts, etc.) and compiled cleanly as of this audit. The content is ready; the deployment decision is pending.</w:t>
      </w:r>
    </w:p>
    <w:p>
      <w:pPr>
        <w:spacing w:before="40" w:after="80"/>
      </w:pPr>
      <w:r>
        <w:rPr>
          <w:rFonts w:ascii="Arial" w:hAnsi="Arial"/>
          <w:i w:val="0"/>
          <w:sz w:val="20"/>
        </w:rPr>
        <w:t>Recommended interim fix: update the /academy landing page to preview actual module titles and hooks from the four paths. This builds anticipation and demonstrates content depth without requiring full deployment. Replace the current generic overview with specific module names.</w:t>
      </w:r>
    </w:p>
    <w:p>
      <w:pPr>
        <w:spacing w:before="40" w:after="60"/>
        <w:ind w:left="288"/>
      </w:pPr>
      <w:r>
        <w:rPr>
          <w:rFonts w:ascii="Arial" w:hAnsi="Arial"/>
          <w:b/>
          <w:color w:val="2E5C8A"/>
          <w:sz w:val="20"/>
        </w:rPr>
        <w:t xml:space="preserve">[MEDIUM] </w:t>
      </w:r>
      <w:r>
        <w:rPr>
          <w:rFonts w:ascii="Arial" w:hAnsi="Arial"/>
          <w:sz w:val="20"/>
        </w:rPr>
        <w:t>Waitlist framing creates a passive conversion experience</w:t>
      </w:r>
    </w:p>
    <w:p>
      <w:pPr>
        <w:spacing w:before="0" w:after="60"/>
        <w:ind w:left="792"/>
      </w:pPr>
      <w:r>
        <w:rPr>
          <w:rFonts w:ascii="Arial" w:hAnsi="Arial"/>
          <w:i/>
          <w:color w:val="8A7D76"/>
          <w:sz w:val="19"/>
        </w:rPr>
        <w:t>The /learn/waitlist page asks visitors to 'join the waitlist.' This framing implies passive waiting with an indeterminate timeline. Alternatives: 'Reserve your spot' (implies limited access), 'Get early access' (implies active process), or 'Enrol now — opens [date]' if a launch date is known. Urgency framing increases conversion for pre-launch products.</w:t>
      </w:r>
    </w:p>
    <w:p>
      <w:pPr>
        <w:spacing w:before="240" w:after="60"/>
      </w:pPr>
      <w:r>
        <w:rPr>
          <w:rFonts w:ascii="Arial" w:hAnsi="Arial"/>
          <w:b/>
          <w:color w:val="1A1412"/>
          <w:sz w:val="22"/>
        </w:rPr>
        <w:t>6.3 Pricing Psychology</w:t>
      </w:r>
    </w:p>
    <w:p>
      <w:pPr>
        <w:spacing w:before="40" w:after="60"/>
        <w:ind w:left="288"/>
      </w:pPr>
      <w:r>
        <w:rPr>
          <w:rFonts w:ascii="Arial" w:hAnsi="Arial"/>
          <w:b/>
          <w:color w:val="2E5C8A"/>
          <w:sz w:val="20"/>
        </w:rPr>
        <w:t xml:space="preserve">[MEDIUM] </w:t>
      </w:r>
      <w:r>
        <w:rPr>
          <w:rFonts w:ascii="Arial" w:hAnsi="Arial"/>
          <w:sz w:val="20"/>
        </w:rPr>
        <w:t>Monthly vs. one-time pricing with no usage framing</w:t>
      </w:r>
    </w:p>
    <w:p>
      <w:pPr>
        <w:spacing w:before="0" w:after="60"/>
        <w:ind w:left="792"/>
      </w:pPr>
      <w:r>
        <w:rPr>
          <w:rFonts w:ascii="Arial" w:hAnsi="Arial"/>
          <w:i/>
          <w:color w:val="8A7D76"/>
          <w:sz w:val="19"/>
        </w:rPr>
        <w:t>The /learn/pricing page shows $0 (free lessons) / $97 one-time / $14.99/mo. The monthly tier creates a different commitment psychology — visitors calculate ongoing cost. Without framing how long the average user stays subscribed, monthly pricing looks potentially more expensive than $97. Add a line: 'Most families complete the full Academy in 4–6 weeks' — this makes the monthly tier feel like $30–$60 total, not an ongoing subscription.</w:t>
      </w:r>
    </w:p>
    <w:p>
      <w:r>
        <w:br w:type="page"/>
      </w:r>
    </w:p>
    <w:p>
      <w:pPr>
        <w:spacing w:before="360" w:after="80"/>
        <w:pBdr>
          <w:bottom w:val="single" w:sz="6" w:space="1" w:color="6B4C3B"/>
        </w:pBdr>
      </w:pPr>
      <w:r>
        <w:rPr>
          <w:rFonts w:ascii="Arial" w:hAnsi="Arial"/>
          <w:b/>
          <w:color w:val="6B4C3B"/>
          <w:sz w:val="26"/>
        </w:rPr>
        <w:t>SECTION 7 — ACADEMY &amp; CONTENT ARCHITECTURE</w:t>
      </w:r>
    </w:p>
    <w:p>
      <w:pPr>
        <w:spacing w:before="40" w:after="80"/>
      </w:pPr>
      <w:r>
        <w:rPr>
          <w:rFonts w:ascii="Arial" w:hAnsi="Arial"/>
          <w:i w:val="0"/>
          <w:sz w:val="20"/>
        </w:rPr>
        <w:t>The Academy is the most technically complex part of the TMBC site. This section covers both the live state and the codebase state, which differ substantially.</w:t>
      </w:r>
    </w:p>
    <w:p>
      <w:pPr>
        <w:spacing w:before="240" w:after="60"/>
      </w:pPr>
      <w:r>
        <w:rPr>
          <w:rFonts w:ascii="Arial" w:hAnsi="Arial"/>
          <w:b/>
          <w:color w:val="1A1412"/>
          <w:sz w:val="22"/>
        </w:rPr>
        <w:t>7.1 Live Site — Academy State</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4A3F3A"/>
          </w:tcPr>
          <w:p>
            <w:r>
              <w:rPr>
                <w:rFonts w:ascii="Arial" w:hAnsi="Arial"/>
                <w:b/>
                <w:color w:val="FFFFFF"/>
                <w:sz w:val="18"/>
              </w:rPr>
              <w:t>URL</w:t>
            </w:r>
          </w:p>
        </w:tc>
        <w:tc>
          <w:tcPr>
            <w:tcW w:type="dxa" w:w="2880"/>
            <w:shd w:val="clear" w:color="auto" w:fill="4A3F3A"/>
          </w:tcPr>
          <w:p>
            <w:r>
              <w:rPr>
                <w:rFonts w:ascii="Arial" w:hAnsi="Arial"/>
                <w:b/>
                <w:color w:val="FFFFFF"/>
                <w:sz w:val="18"/>
              </w:rPr>
              <w:t>Live Status</w:t>
            </w:r>
          </w:p>
        </w:tc>
        <w:tc>
          <w:tcPr>
            <w:tcW w:type="dxa" w:w="4032"/>
            <w:shd w:val="clear" w:color="auto" w:fill="4A3F3A"/>
          </w:tcPr>
          <w:p>
            <w:r>
              <w:rPr>
                <w:rFonts w:ascii="Arial" w:hAnsi="Arial"/>
                <w:b/>
                <w:color w:val="FFFFFF"/>
                <w:sz w:val="18"/>
              </w:rPr>
              <w:t>Notes</w:t>
            </w:r>
          </w:p>
        </w:tc>
      </w:tr>
      <w:tr>
        <w:tc>
          <w:tcPr>
            <w:tcW w:type="dxa" w:w="3168"/>
          </w:tcPr>
          <w:p>
            <w:r>
              <w:rPr>
                <w:rFonts w:ascii="Arial" w:hAnsi="Arial"/>
                <w:sz w:val="18"/>
              </w:rPr>
              <w:t>/academy</w:t>
            </w:r>
          </w:p>
        </w:tc>
        <w:tc>
          <w:tcPr>
            <w:tcW w:type="dxa" w:w="2880"/>
          </w:tcPr>
          <w:p>
            <w:r>
              <w:rPr>
                <w:rFonts w:ascii="Arial" w:hAnsi="Arial"/>
                <w:sz w:val="18"/>
              </w:rPr>
              <w:t>✓ Live</w:t>
            </w:r>
          </w:p>
        </w:tc>
        <w:tc>
          <w:tcPr>
            <w:tcW w:type="dxa" w:w="4032"/>
          </w:tcPr>
          <w:p>
            <w:r>
              <w:rPr>
                <w:rFonts w:ascii="Arial" w:hAnsi="Arial"/>
                <w:sz w:val="18"/>
              </w:rPr>
              <w:t>Marketing landing page — works</w:t>
            </w:r>
          </w:p>
        </w:tc>
      </w:tr>
      <w:tr>
        <w:tc>
          <w:tcPr>
            <w:tcW w:type="dxa" w:w="3168"/>
          </w:tcPr>
          <w:p>
            <w:r>
              <w:rPr>
                <w:rFonts w:ascii="Arial" w:hAnsi="Arial"/>
                <w:sz w:val="18"/>
              </w:rPr>
              <w:t>/academy/registry</w:t>
            </w:r>
          </w:p>
        </w:tc>
        <w:tc>
          <w:tcPr>
            <w:tcW w:type="dxa" w:w="2880"/>
            <w:shd w:val="clear" w:color="auto" w:fill="F9E0E0"/>
          </w:tcPr>
          <w:p>
            <w:r>
              <w:rPr>
                <w:rFonts w:ascii="Arial" w:hAnsi="Arial"/>
                <w:sz w:val="18"/>
              </w:rPr>
              <w:t>⚠ Redirects → /learn/waitlist</w:t>
            </w:r>
          </w:p>
        </w:tc>
        <w:tc>
          <w:tcPr>
            <w:tcW w:type="dxa" w:w="4032"/>
          </w:tcPr>
          <w:p>
            <w:r>
              <w:rPr>
                <w:rFonts w:ascii="Arial" w:hAnsi="Arial"/>
                <w:sz w:val="18"/>
              </w:rPr>
              <w:t>Full Registry Path not deployed</w:t>
            </w:r>
          </w:p>
        </w:tc>
      </w:tr>
      <w:tr>
        <w:tc>
          <w:tcPr>
            <w:tcW w:type="dxa" w:w="3168"/>
          </w:tcPr>
          <w:p>
            <w:r>
              <w:rPr>
                <w:rFonts w:ascii="Arial" w:hAnsi="Arial"/>
                <w:sz w:val="18"/>
              </w:rPr>
              <w:t>/academy/nursery</w:t>
            </w:r>
          </w:p>
        </w:tc>
        <w:tc>
          <w:tcPr>
            <w:tcW w:type="dxa" w:w="2880"/>
            <w:shd w:val="clear" w:color="auto" w:fill="F9E0E0"/>
          </w:tcPr>
          <w:p>
            <w:r>
              <w:rPr>
                <w:rFonts w:ascii="Arial" w:hAnsi="Arial"/>
                <w:sz w:val="18"/>
              </w:rPr>
              <w:t>⚠ Redirects → /learn/waitlist</w:t>
            </w:r>
          </w:p>
        </w:tc>
        <w:tc>
          <w:tcPr>
            <w:tcW w:type="dxa" w:w="4032"/>
          </w:tcPr>
          <w:p>
            <w:r>
              <w:rPr>
                <w:rFonts w:ascii="Arial" w:hAnsi="Arial"/>
                <w:sz w:val="18"/>
              </w:rPr>
              <w:t>Full Nursery Path not deployed</w:t>
            </w:r>
          </w:p>
        </w:tc>
      </w:tr>
      <w:tr>
        <w:tc>
          <w:tcPr>
            <w:tcW w:type="dxa" w:w="3168"/>
          </w:tcPr>
          <w:p>
            <w:r>
              <w:rPr>
                <w:rFonts w:ascii="Arial" w:hAnsi="Arial"/>
                <w:sz w:val="18"/>
              </w:rPr>
              <w:t>/academy/stroller</w:t>
            </w:r>
          </w:p>
        </w:tc>
        <w:tc>
          <w:tcPr>
            <w:tcW w:type="dxa" w:w="2880"/>
            <w:shd w:val="clear" w:color="auto" w:fill="F9E0E0"/>
          </w:tcPr>
          <w:p>
            <w:r>
              <w:rPr>
                <w:rFonts w:ascii="Arial" w:hAnsi="Arial"/>
                <w:sz w:val="18"/>
              </w:rPr>
              <w:t>⚠ Redirects → /learn/waitlist</w:t>
            </w:r>
          </w:p>
        </w:tc>
        <w:tc>
          <w:tcPr>
            <w:tcW w:type="dxa" w:w="4032"/>
          </w:tcPr>
          <w:p>
            <w:r>
              <w:rPr>
                <w:rFonts w:ascii="Arial" w:hAnsi="Arial"/>
                <w:sz w:val="18"/>
              </w:rPr>
              <w:t>Full Stroller Path not deployed</w:t>
            </w:r>
          </w:p>
        </w:tc>
      </w:tr>
      <w:tr>
        <w:tc>
          <w:tcPr>
            <w:tcW w:type="dxa" w:w="3168"/>
          </w:tcPr>
          <w:p>
            <w:r>
              <w:rPr>
                <w:rFonts w:ascii="Arial" w:hAnsi="Arial"/>
                <w:sz w:val="18"/>
              </w:rPr>
              <w:t>/academy/postpartum</w:t>
            </w:r>
          </w:p>
        </w:tc>
        <w:tc>
          <w:tcPr>
            <w:tcW w:type="dxa" w:w="2880"/>
            <w:shd w:val="clear" w:color="auto" w:fill="F9E0E0"/>
          </w:tcPr>
          <w:p>
            <w:r>
              <w:rPr>
                <w:rFonts w:ascii="Arial" w:hAnsi="Arial"/>
                <w:sz w:val="18"/>
              </w:rPr>
              <w:t>⚠ Redirects → /learn/waitlist</w:t>
            </w:r>
          </w:p>
        </w:tc>
        <w:tc>
          <w:tcPr>
            <w:tcW w:type="dxa" w:w="4032"/>
          </w:tcPr>
          <w:p>
            <w:r>
              <w:rPr>
                <w:rFonts w:ascii="Arial" w:hAnsi="Arial"/>
                <w:sz w:val="18"/>
              </w:rPr>
              <w:t>Full Postpartum Path not deployed</w:t>
            </w:r>
          </w:p>
        </w:tc>
      </w:tr>
      <w:tr>
        <w:tc>
          <w:tcPr>
            <w:tcW w:type="dxa" w:w="3168"/>
          </w:tcPr>
          <w:p>
            <w:r>
              <w:rPr>
                <w:rFonts w:ascii="Arial" w:hAnsi="Arial"/>
                <w:sz w:val="18"/>
              </w:rPr>
              <w:t>/learn</w:t>
            </w:r>
          </w:p>
        </w:tc>
        <w:tc>
          <w:tcPr>
            <w:tcW w:type="dxa" w:w="2880"/>
          </w:tcPr>
          <w:p>
            <w:r>
              <w:rPr>
                <w:rFonts w:ascii="Arial" w:hAnsi="Arial"/>
                <w:sz w:val="18"/>
              </w:rPr>
              <w:t>✓ Live</w:t>
            </w:r>
          </w:p>
        </w:tc>
        <w:tc>
          <w:tcPr>
            <w:tcW w:type="dxa" w:w="4032"/>
          </w:tcPr>
          <w:p>
            <w:r>
              <w:rPr>
                <w:rFonts w:ascii="Arial" w:hAnsi="Arial"/>
                <w:sz w:val="18"/>
              </w:rPr>
              <w:t>Content hub — travel system tool + path previews</w:t>
            </w:r>
          </w:p>
        </w:tc>
      </w:tr>
      <w:tr>
        <w:tc>
          <w:tcPr>
            <w:tcW w:type="dxa" w:w="3168"/>
          </w:tcPr>
          <w:p>
            <w:r>
              <w:rPr>
                <w:rFonts w:ascii="Arial" w:hAnsi="Arial"/>
                <w:sz w:val="18"/>
              </w:rPr>
              <w:t>/learn/pricing</w:t>
            </w:r>
          </w:p>
        </w:tc>
        <w:tc>
          <w:tcPr>
            <w:tcW w:type="dxa" w:w="2880"/>
          </w:tcPr>
          <w:p>
            <w:r>
              <w:rPr>
                <w:rFonts w:ascii="Arial" w:hAnsi="Arial"/>
                <w:sz w:val="18"/>
              </w:rPr>
              <w:t>✓ Live</w:t>
            </w:r>
          </w:p>
        </w:tc>
        <w:tc>
          <w:tcPr>
            <w:tcW w:type="dxa" w:w="4032"/>
          </w:tcPr>
          <w:p>
            <w:r>
              <w:rPr>
                <w:rFonts w:ascii="Arial" w:hAnsi="Arial"/>
                <w:sz w:val="18"/>
              </w:rPr>
              <w:t>$0 / $97 / $14.99 tiers shown</w:t>
            </w:r>
          </w:p>
        </w:tc>
      </w:tr>
      <w:tr>
        <w:tc>
          <w:tcPr>
            <w:tcW w:type="dxa" w:w="3168"/>
          </w:tcPr>
          <w:p>
            <w:r>
              <w:rPr>
                <w:rFonts w:ascii="Arial" w:hAnsi="Arial"/>
                <w:sz w:val="18"/>
              </w:rPr>
              <w:t>/learn/waitlist</w:t>
            </w:r>
          </w:p>
        </w:tc>
        <w:tc>
          <w:tcPr>
            <w:tcW w:type="dxa" w:w="2880"/>
          </w:tcPr>
          <w:p>
            <w:r>
              <w:rPr>
                <w:rFonts w:ascii="Arial" w:hAnsi="Arial"/>
                <w:sz w:val="18"/>
              </w:rPr>
              <w:t>✓ Live</w:t>
            </w:r>
          </w:p>
        </w:tc>
        <w:tc>
          <w:tcPr>
            <w:tcW w:type="dxa" w:w="4032"/>
          </w:tcPr>
          <w:p>
            <w:r>
              <w:rPr>
                <w:rFonts w:ascii="Arial" w:hAnsi="Arial"/>
                <w:sz w:val="18"/>
              </w:rPr>
              <w:t>Waitlist form — passive framing</w:t>
            </w:r>
          </w:p>
        </w:tc>
      </w:tr>
      <w:tr>
        <w:tc>
          <w:tcPr>
            <w:tcW w:type="dxa" w:w="3168"/>
          </w:tcPr>
          <w:p>
            <w:r>
              <w:rPr>
                <w:rFonts w:ascii="Arial" w:hAnsi="Arial"/>
                <w:sz w:val="18"/>
              </w:rPr>
              <w:t>/learn/art-of-the-registry</w:t>
            </w:r>
          </w:p>
        </w:tc>
        <w:tc>
          <w:tcPr>
            <w:tcW w:type="dxa" w:w="2880"/>
          </w:tcPr>
          <w:p>
            <w:r>
              <w:rPr>
                <w:rFonts w:ascii="Arial" w:hAnsi="Arial"/>
                <w:sz w:val="18"/>
              </w:rPr>
              <w:t>✓ Live</w:t>
            </w:r>
          </w:p>
        </w:tc>
        <w:tc>
          <w:tcPr>
            <w:tcW w:type="dxa" w:w="4032"/>
          </w:tcPr>
          <w:p>
            <w:r>
              <w:rPr>
                <w:rFonts w:ascii="Arial" w:hAnsi="Arial"/>
                <w:sz w:val="18"/>
              </w:rPr>
              <w:t>Free lesson — full content, working</w:t>
            </w:r>
          </w:p>
        </w:tc>
      </w:tr>
      <w:tr>
        <w:tc>
          <w:tcPr>
            <w:tcW w:type="dxa" w:w="3168"/>
          </w:tcPr>
          <w:p>
            <w:r>
              <w:rPr>
                <w:rFonts w:ascii="Arial" w:hAnsi="Arial"/>
                <w:sz w:val="18"/>
              </w:rPr>
              <w:t>/learn/nursery-foundations</w:t>
            </w:r>
          </w:p>
        </w:tc>
        <w:tc>
          <w:tcPr>
            <w:tcW w:type="dxa" w:w="2880"/>
          </w:tcPr>
          <w:p>
            <w:r>
              <w:rPr>
                <w:rFonts w:ascii="Arial" w:hAnsi="Arial"/>
                <w:sz w:val="18"/>
              </w:rPr>
              <w:t>✓ Live</w:t>
            </w:r>
          </w:p>
        </w:tc>
        <w:tc>
          <w:tcPr>
            <w:tcW w:type="dxa" w:w="4032"/>
          </w:tcPr>
          <w:p>
            <w:r>
              <w:rPr>
                <w:rFonts w:ascii="Arial" w:hAnsi="Arial"/>
                <w:sz w:val="18"/>
              </w:rPr>
              <w:t>Free lesson — working</w:t>
            </w:r>
          </w:p>
        </w:tc>
      </w:tr>
      <w:tr>
        <w:tc>
          <w:tcPr>
            <w:tcW w:type="dxa" w:w="3168"/>
          </w:tcPr>
          <w:p>
            <w:r>
              <w:rPr>
                <w:rFonts w:ascii="Arial" w:hAnsi="Arial"/>
                <w:sz w:val="18"/>
              </w:rPr>
              <w:t>/learn/stroller-foundations</w:t>
            </w:r>
          </w:p>
        </w:tc>
        <w:tc>
          <w:tcPr>
            <w:tcW w:type="dxa" w:w="2880"/>
          </w:tcPr>
          <w:p>
            <w:r>
              <w:rPr>
                <w:rFonts w:ascii="Arial" w:hAnsi="Arial"/>
                <w:sz w:val="18"/>
              </w:rPr>
              <w:t>✓ Live</w:t>
            </w:r>
          </w:p>
        </w:tc>
        <w:tc>
          <w:tcPr>
            <w:tcW w:type="dxa" w:w="4032"/>
          </w:tcPr>
          <w:p>
            <w:r>
              <w:rPr>
                <w:rFonts w:ascii="Arial" w:hAnsi="Arial"/>
                <w:sz w:val="18"/>
              </w:rPr>
              <w:t>Free lesson — working</w:t>
            </w:r>
          </w:p>
        </w:tc>
      </w:tr>
    </w:tbl>
    <w:p/>
    <w:p>
      <w:pPr>
        <w:spacing w:before="240" w:after="60"/>
      </w:pPr>
      <w:r>
        <w:rPr>
          <w:rFonts w:ascii="Arial" w:hAnsi="Arial"/>
          <w:b/>
          <w:color w:val="1A1412"/>
          <w:sz w:val="22"/>
        </w:rPr>
        <w:t>7.2 Codebase — Academy State (Updated Post-Audit)</w:t>
      </w:r>
    </w:p>
    <w:p>
      <w:pPr>
        <w:spacing w:before="40" w:after="80"/>
      </w:pPr>
      <w:r>
        <w:rPr>
          <w:rFonts w:ascii="Arial" w:hAnsi="Arial"/>
          <w:i w:val="0"/>
          <w:sz w:val="20"/>
        </w:rPr>
        <w:t>As of this audit, the following academy content exists fully in the codebase and compiled clean against TypeScript strict mode:</w:t>
      </w:r>
    </w:p>
    <w:p>
      <w:pPr>
        <w:pStyle w:val="ListBullet"/>
        <w:spacing w:before="20" w:after="40"/>
        <w:ind w:left="360"/>
      </w:pPr>
      <w:r>
        <w:rPr>
          <w:rFonts w:ascii="Arial" w:hAnsi="Arial"/>
          <w:sz w:val="20"/>
        </w:rPr>
        <w:t>Registry Path: art-of-the-registry (M1), plus additional modules</w:t>
      </w:r>
    </w:p>
    <w:p>
      <w:pPr>
        <w:pStyle w:val="ListBullet"/>
        <w:spacing w:before="20" w:after="40"/>
        <w:ind w:left="360"/>
      </w:pPr>
      <w:r>
        <w:rPr>
          <w:rFonts w:ascii="Arial" w:hAnsi="Arial"/>
          <w:b/>
          <w:sz w:val="20"/>
        </w:rPr>
        <w:t xml:space="preserve">✓ </w:t>
      </w:r>
      <w:r>
        <w:rPr>
          <w:rFonts w:ascii="Arial" w:hAnsi="Arial"/>
          <w:sz w:val="20"/>
        </w:rPr>
        <w:t>Nursery Path: 6 modules fully rewritten with differentiated educational hooks</w:t>
      </w:r>
    </w:p>
    <w:p>
      <w:pPr>
        <w:pStyle w:val="ListBullet"/>
        <w:spacing w:before="20" w:after="40"/>
        <w:ind w:left="720"/>
      </w:pPr>
      <w:r>
        <w:rPr>
          <w:rFonts w:ascii="Arial" w:hAnsi="Arial"/>
          <w:sz w:val="20"/>
        </w:rPr>
        <w:t xml:space="preserve">  M1: Vision &amp; Lifestyle  |  M2: Sleep Space Decisions  |  M3: Furniture That Actually Works</w:t>
      </w:r>
    </w:p>
    <w:p>
      <w:pPr>
        <w:pStyle w:val="ListBullet"/>
        <w:spacing w:before="20" w:after="40"/>
        <w:ind w:left="720"/>
      </w:pPr>
      <w:r>
        <w:rPr>
          <w:rFonts w:ascii="Arial" w:hAnsi="Arial"/>
          <w:sz w:val="20"/>
        </w:rPr>
        <w:t xml:space="preserve">  M4: Layout &amp; Flow  |  M5: Storage &amp; Organization  |  M6: Atmosphere &amp; Safety</w:t>
      </w:r>
    </w:p>
    <w:p>
      <w:pPr>
        <w:pStyle w:val="ListBullet"/>
        <w:spacing w:before="20" w:after="40"/>
        <w:ind w:left="360"/>
      </w:pPr>
      <w:r>
        <w:rPr>
          <w:rFonts w:ascii="Arial" w:hAnsi="Arial"/>
          <w:b/>
          <w:sz w:val="20"/>
        </w:rPr>
        <w:t xml:space="preserve">✓ </w:t>
      </w:r>
      <w:r>
        <w:rPr>
          <w:rFonts w:ascii="Arial" w:hAnsi="Arial"/>
          <w:sz w:val="20"/>
        </w:rPr>
        <w:t>Postpartum Path: 6 modules fully rewritten</w:t>
      </w:r>
    </w:p>
    <w:p>
      <w:pPr>
        <w:pStyle w:val="ListBullet"/>
        <w:spacing w:before="20" w:after="40"/>
        <w:ind w:left="720"/>
      </w:pPr>
      <w:r>
        <w:rPr>
          <w:rFonts w:ascii="Arial" w:hAnsi="Arial"/>
          <w:sz w:val="20"/>
        </w:rPr>
        <w:t xml:space="preserve">  M1: Healing &amp; Recovery  |  M2: First-Weeks Home Rhythm  |  M3: Feeding &amp; Lactation</w:t>
      </w:r>
    </w:p>
    <w:p>
      <w:pPr>
        <w:pStyle w:val="ListBullet"/>
        <w:spacing w:before="20" w:after="40"/>
        <w:ind w:left="720"/>
      </w:pPr>
      <w:r>
        <w:rPr>
          <w:rFonts w:ascii="Arial" w:hAnsi="Arial"/>
          <w:sz w:val="20"/>
        </w:rPr>
        <w:t xml:space="preserve">  M4: Rest &amp; Sleep  |  M5: Emotional Wellness &amp; Identity  |  M6: Support Systems</w:t>
      </w:r>
    </w:p>
    <w:p>
      <w:pPr>
        <w:pStyle w:val="ListBullet"/>
        <w:spacing w:before="20" w:after="40"/>
        <w:ind w:left="360"/>
      </w:pPr>
      <w:r>
        <w:rPr>
          <w:rFonts w:ascii="Arial" w:hAnsi="Arial"/>
          <w:sz w:val="20"/>
        </w:rPr>
        <w:t>Stroller/Travel Path: stroller-foundations free lesson live; full path status not confirmed in this audit</w:t>
      </w:r>
    </w:p>
    <w:p>
      <w:pPr>
        <w:spacing w:before="40" w:after="80"/>
      </w:pPr>
      <w:r>
        <w:rPr>
          <w:rFonts w:ascii="Arial" w:hAnsi="Arial"/>
          <w:i w:val="0"/>
          <w:sz w:val="20"/>
        </w:rPr>
        <w:t>All module linked lists (nextModuleSlug / previousModuleSlug) form valid chains. Content passes TypeScript strict mode compilation with no errors.</w:t>
      </w:r>
    </w:p>
    <w:p>
      <w:pPr>
        <w:spacing w:before="40" w:after="60"/>
        <w:ind w:left="288"/>
      </w:pPr>
      <w:r>
        <w:rPr>
          <w:rFonts w:ascii="Arial" w:hAnsi="Arial"/>
          <w:b/>
          <w:color w:val="B82C2C"/>
          <w:sz w:val="20"/>
        </w:rPr>
        <w:t xml:space="preserve">[CRITICAL] </w:t>
      </w:r>
      <w:r>
        <w:rPr>
          <w:rFonts w:ascii="Arial" w:hAnsi="Arial"/>
          <w:sz w:val="20"/>
        </w:rPr>
        <w:t>Deployment gap: 29 modules in codebase, 0 deployed behind enrollment gate</w:t>
      </w:r>
    </w:p>
    <w:p>
      <w:pPr>
        <w:spacing w:before="0" w:after="60"/>
        <w:ind w:left="792"/>
      </w:pPr>
      <w:r>
        <w:rPr>
          <w:rFonts w:ascii="Arial" w:hAnsi="Arial"/>
          <w:i/>
          <w:color w:val="8A7D76"/>
          <w:sz w:val="19"/>
        </w:rPr>
        <w:t>This is ready content that no paying customer can access yet. Priority decision needed: either deploy behind the enrollment gate immediately, or update the /academy landing page to preview the full module list to build anticipation while the enrollment system is finalized.</w:t>
      </w:r>
    </w:p>
    <w:p>
      <w:pPr>
        <w:spacing w:before="240" w:after="60"/>
      </w:pPr>
      <w:r>
        <w:rPr>
          <w:rFonts w:ascii="Arial" w:hAnsi="Arial"/>
          <w:b/>
          <w:color w:val="1A1412"/>
          <w:sz w:val="22"/>
        </w:rPr>
        <w:t>7.3 Content Architecture — Dual URL Structure</w:t>
      </w:r>
    </w:p>
    <w:p>
      <w:pPr>
        <w:spacing w:before="40" w:after="60"/>
        <w:ind w:left="288"/>
      </w:pPr>
      <w:r>
        <w:rPr>
          <w:rFonts w:ascii="Arial" w:hAnsi="Arial"/>
          <w:b/>
          <w:color w:val="B82C2C"/>
          <w:sz w:val="20"/>
        </w:rPr>
        <w:t xml:space="preserve">[CRITICAL] </w:t>
      </w:r>
      <w:r>
        <w:rPr>
          <w:rFonts w:ascii="Arial" w:hAnsi="Arial"/>
          <w:sz w:val="20"/>
        </w:rPr>
        <w:t>Two parallel hierarchies: /academy/* and /learn/* with no clear relationship</w:t>
      </w:r>
    </w:p>
    <w:p>
      <w:pPr>
        <w:spacing w:before="0" w:after="60"/>
        <w:ind w:left="792"/>
      </w:pPr>
      <w:r>
        <w:rPr>
          <w:rFonts w:ascii="Arial" w:hAnsi="Arial"/>
          <w:i/>
          <w:color w:val="8A7D76"/>
          <w:sz w:val="19"/>
        </w:rPr>
        <w:t>From a user's perspective: 'Academy' in the nav goes to /academy (marketing page). The actual content is at /learn. The Registry Path is at /academy/registry but redirects to /learn/waitlist. The free lessons are at /learn/art-of-the-registry. There is no user-visible explanation of the relationship between these two URL trees. This creates confusion for direct-navigation visitors and is an SEO signal problem.</w:t>
      </w:r>
    </w:p>
    <w:p>
      <w:pPr>
        <w:spacing w:before="40" w:after="80"/>
      </w:pPr>
      <w:r>
        <w:rPr>
          <w:rFonts w:ascii="Arial" w:hAnsi="Arial"/>
          <w:i w:val="0"/>
          <w:sz w:val="20"/>
        </w:rPr>
        <w:t>Recommended resolution options (pick one):</w:t>
      </w:r>
    </w:p>
    <w:p>
      <w:pPr>
        <w:pStyle w:val="ListBullet"/>
        <w:spacing w:before="20" w:after="40"/>
        <w:ind w:left="360"/>
      </w:pPr>
      <w:r>
        <w:rPr>
          <w:rFonts w:ascii="Arial" w:hAnsi="Arial"/>
          <w:b/>
          <w:sz w:val="20"/>
        </w:rPr>
        <w:t xml:space="preserve">Option A: </w:t>
      </w:r>
      <w:r>
        <w:rPr>
          <w:rFonts w:ascii="Arial" w:hAnsi="Arial"/>
          <w:sz w:val="20"/>
        </w:rPr>
        <w:t>Option A (simpler): Keep /learn/ as the canonical content URL. Update /academy to link directly to /learn with clear 'Enter the Academy →' CTA. Remove or redirect /academy/* path routes to /learn/* equivalents.</w:t>
      </w:r>
    </w:p>
    <w:p>
      <w:pPr>
        <w:pStyle w:val="ListBullet"/>
        <w:spacing w:before="20" w:after="40"/>
        <w:ind w:left="360"/>
      </w:pPr>
      <w:r>
        <w:rPr>
          <w:rFonts w:ascii="Arial" w:hAnsi="Arial"/>
          <w:b/>
          <w:sz w:val="20"/>
        </w:rPr>
        <w:t xml:space="preserve">Option B: </w:t>
      </w:r>
      <w:r>
        <w:rPr>
          <w:rFonts w:ascii="Arial" w:hAnsi="Arial"/>
          <w:sz w:val="20"/>
        </w:rPr>
        <w:t>Option B (cleaner for SEO): Migrate all content to /academy/* and deprecate /learn/*. Update middleware, sitemaps, and all internal links.</w:t>
      </w:r>
    </w:p>
    <w:p>
      <w:pPr>
        <w:pStyle w:val="ListBullet"/>
        <w:spacing w:before="20" w:after="40"/>
        <w:ind w:left="360"/>
      </w:pPr>
      <w:r>
        <w:rPr>
          <w:rFonts w:ascii="Arial" w:hAnsi="Arial"/>
          <w:b/>
          <w:sz w:val="20"/>
        </w:rPr>
        <w:t xml:space="preserve">Both options: </w:t>
      </w:r>
      <w:r>
        <w:rPr>
          <w:rFonts w:ascii="Arial" w:hAnsi="Arial"/>
          <w:sz w:val="20"/>
        </w:rPr>
        <w:t>Either option requires a sitemap update and consistent internal linking audit.</w:t>
      </w:r>
    </w:p>
    <w:p>
      <w:pPr>
        <w:spacing w:before="240" w:after="60"/>
      </w:pPr>
      <w:r>
        <w:rPr>
          <w:rFonts w:ascii="Arial" w:hAnsi="Arial"/>
          <w:b/>
          <w:color w:val="1A1412"/>
          <w:sz w:val="22"/>
        </w:rPr>
        <w:t>7.4 Module Content Quality</w:t>
      </w:r>
    </w:p>
    <w:p>
      <w:pPr>
        <w:spacing w:before="40" w:after="80"/>
      </w:pPr>
      <w:r>
        <w:rPr>
          <w:rFonts w:ascii="Arial" w:hAnsi="Arial"/>
          <w:i w:val="0"/>
          <w:sz w:val="20"/>
        </w:rPr>
        <w:t>Each module follows a consistent structure: intro, four core sections, five decision bullets, three products, and a soft CTA. Module content is substantive and differentiated — each module teaches a genuinely distinct concept rather than repeating the same advice in different words. This is the primary quality signal the Academy has going for it.</w:t>
      </w:r>
    </w:p>
    <w:p>
      <w:r>
        <w:br w:type="page"/>
      </w:r>
    </w:p>
    <w:p>
      <w:pPr>
        <w:spacing w:before="360" w:after="80"/>
        <w:pBdr>
          <w:bottom w:val="single" w:sz="6" w:space="1" w:color="6B4C3B"/>
        </w:pBdr>
      </w:pPr>
      <w:r>
        <w:rPr>
          <w:rFonts w:ascii="Arial" w:hAnsi="Arial"/>
          <w:b/>
          <w:color w:val="6B4C3B"/>
          <w:sz w:val="26"/>
        </w:rPr>
        <w:t>SECTION 8 — BLOG &amp; CONTENT STRATEGY</w:t>
      </w:r>
    </w:p>
    <w:p>
      <w:pPr>
        <w:spacing w:before="40" w:after="80"/>
      </w:pPr>
      <w:r>
        <w:rPr>
          <w:rFonts w:ascii="Arial" w:hAnsi="Arial"/>
          <w:i w:val="0"/>
          <w:sz w:val="20"/>
        </w:rPr>
        <w:t>The blog (linked as 'Journal' in the nav) contains 17 posts. The content strategy appears organic rather than structured — posts vary in format, depth, and SEO optimisation.</w:t>
      </w:r>
    </w:p>
    <w:p>
      <w:pPr>
        <w:spacing w:before="240" w:after="60"/>
      </w:pPr>
      <w:r>
        <w:rPr>
          <w:rFonts w:ascii="Arial" w:hAnsi="Arial"/>
          <w:b/>
          <w:color w:val="1A1412"/>
          <w:sz w:val="22"/>
        </w:rPr>
        <w:t>8.1 What's Working</w:t>
      </w:r>
    </w:p>
    <w:p>
      <w:pPr>
        <w:pStyle w:val="ListBullet"/>
        <w:spacing w:before="20" w:after="40"/>
        <w:ind w:left="360"/>
      </w:pPr>
      <w:r>
        <w:rPr>
          <w:rFonts w:ascii="Arial" w:hAnsi="Arial"/>
          <w:sz w:val="20"/>
        </w:rPr>
        <w:t>17 posts is a reasonable content base. Enough to signal consistent publication without feeling abandoned.</w:t>
      </w:r>
    </w:p>
    <w:p>
      <w:pPr>
        <w:pStyle w:val="ListBullet"/>
        <w:spacing w:before="20" w:after="40"/>
        <w:ind w:left="360"/>
      </w:pPr>
      <w:r>
        <w:rPr>
          <w:rFonts w:ascii="Arial" w:hAnsi="Arial"/>
          <w:sz w:val="20"/>
        </w:rPr>
        <w:t>The 'Journal' label is tonally appropriate for TMBC — more personal and editorial than 'Blog.'</w:t>
      </w:r>
    </w:p>
    <w:p>
      <w:pPr>
        <w:pStyle w:val="ListBullet"/>
        <w:spacing w:before="20" w:after="40"/>
        <w:ind w:left="360"/>
      </w:pPr>
      <w:r>
        <w:rPr>
          <w:rFonts w:ascii="Arial" w:hAnsi="Arial"/>
          <w:sz w:val="20"/>
        </w:rPr>
        <w:t>Posts on specific gear (like the Nuna DEMI Icon) can rank for high-intent search terms.</w:t>
      </w:r>
    </w:p>
    <w:p>
      <w:pPr>
        <w:spacing w:before="240" w:after="60"/>
      </w:pPr>
      <w:r>
        <w:rPr>
          <w:rFonts w:ascii="Arial" w:hAnsi="Arial"/>
          <w:b/>
          <w:color w:val="1A1412"/>
          <w:sz w:val="22"/>
        </w:rPr>
        <w:t>8.2 Issues</w:t>
      </w:r>
    </w:p>
    <w:p>
      <w:pPr>
        <w:spacing w:before="40" w:after="60"/>
        <w:ind w:left="288"/>
      </w:pPr>
      <w:r>
        <w:rPr>
          <w:rFonts w:ascii="Arial" w:hAnsi="Arial"/>
          <w:b/>
          <w:color w:val="C96C1E"/>
          <w:sz w:val="20"/>
        </w:rPr>
        <w:t xml:space="preserve">[HIGH] </w:t>
      </w:r>
      <w:r>
        <w:rPr>
          <w:rFonts w:ascii="Arial" w:hAnsi="Arial"/>
          <w:sz w:val="20"/>
        </w:rPr>
        <w:t>Slug 'untitled-post-5' on Nuna DEMI Icon post</w:t>
      </w:r>
    </w:p>
    <w:p>
      <w:pPr>
        <w:spacing w:before="0" w:after="60"/>
        <w:ind w:left="792"/>
      </w:pPr>
      <w:r>
        <w:rPr>
          <w:rFonts w:ascii="Arial" w:hAnsi="Arial"/>
          <w:i/>
          <w:color w:val="8A7D76"/>
          <w:sz w:val="19"/>
        </w:rPr>
        <w:t>One post appears to have been published from a draft state without setting a proper URL slug. The resulting URL /blog/untitled-post-5 is not shareable, not rankable, and reads as unpolished. Fix this immediately: (1) rename the slug, (2) set up a 301 redirect from the old URL, (3) add a canonical tag pointing to the new URL. Most CMSs handle this natively.</w:t>
      </w:r>
    </w:p>
    <w:p>
      <w:pPr>
        <w:spacing w:before="40" w:after="60"/>
        <w:ind w:left="288"/>
      </w:pPr>
      <w:r>
        <w:rPr>
          <w:rFonts w:ascii="Arial" w:hAnsi="Arial"/>
          <w:b/>
          <w:color w:val="2E5C8A"/>
          <w:sz w:val="20"/>
        </w:rPr>
        <w:t xml:space="preserve">[MEDIUM] </w:t>
      </w:r>
      <w:r>
        <w:rPr>
          <w:rFonts w:ascii="Arial" w:hAnsi="Arial"/>
          <w:sz w:val="20"/>
        </w:rPr>
        <w:t>No visible content calendar or topical clustering</w:t>
      </w:r>
    </w:p>
    <w:p>
      <w:pPr>
        <w:spacing w:before="0" w:after="60"/>
        <w:ind w:left="792"/>
      </w:pPr>
      <w:r>
        <w:rPr>
          <w:rFonts w:ascii="Arial" w:hAnsi="Arial"/>
          <w:i/>
          <w:color w:val="8A7D76"/>
          <w:sz w:val="19"/>
        </w:rPr>
        <w:t>17 individual posts are less SEO-valuable than 17 posts organised into topic clusters (e.g., all car seat content links to each other and to the stroller path). If the goal is organic search traffic, a clustered content strategy would compound the value of existing posts rather than treating them as standalone pieces.</w:t>
      </w:r>
    </w:p>
    <w:p>
      <w:pPr>
        <w:spacing w:before="240" w:after="60"/>
      </w:pPr>
      <w:r>
        <w:rPr>
          <w:rFonts w:ascii="Arial" w:hAnsi="Arial"/>
          <w:b/>
          <w:color w:val="1A1412"/>
          <w:sz w:val="22"/>
        </w:rPr>
        <w:t>8.3 Content Opportunities</w:t>
      </w:r>
    </w:p>
    <w:p>
      <w:pPr>
        <w:spacing w:before="40" w:after="60"/>
        <w:ind w:left="288"/>
      </w:pPr>
      <w:r>
        <w:rPr>
          <w:rFonts w:ascii="Arial" w:hAnsi="Arial"/>
          <w:b/>
          <w:color w:val="2E7A4A"/>
          <w:sz w:val="20"/>
        </w:rPr>
        <w:t xml:space="preserve">[OPPORTUNITY] </w:t>
      </w:r>
      <w:r>
        <w:rPr>
          <w:rFonts w:ascii="Arial" w:hAnsi="Arial"/>
          <w:sz w:val="20"/>
        </w:rPr>
        <w:t>Blog posts could link to Academy free lessons</w:t>
      </w:r>
    </w:p>
    <w:p>
      <w:pPr>
        <w:spacing w:before="0" w:after="60"/>
        <w:ind w:left="792"/>
      </w:pPr>
      <w:r>
        <w:rPr>
          <w:rFonts w:ascii="Arial" w:hAnsi="Arial"/>
          <w:i/>
          <w:color w:val="8A7D76"/>
          <w:sz w:val="19"/>
        </w:rPr>
        <w:t>Any blog post on a topic covered by a free lesson (registry, nursery setup, stroller research) is a natural internal link opportunity. 'Read more in our free Registry lesson →' converts engaged blog readers into Academy visitors. This cross-link infrastructure doesn't appear to be in place.</w:t>
      </w:r>
    </w:p>
    <w:p>
      <w:pPr>
        <w:spacing w:before="40" w:after="60"/>
        <w:ind w:left="288"/>
      </w:pPr>
      <w:r>
        <w:rPr>
          <w:rFonts w:ascii="Arial" w:hAnsi="Arial"/>
          <w:b/>
          <w:color w:val="2E7A4A"/>
          <w:sz w:val="20"/>
        </w:rPr>
        <w:t xml:space="preserve">[OPPORTUNITY] </w:t>
      </w:r>
      <w:r>
        <w:rPr>
          <w:rFonts w:ascii="Arial" w:hAnsi="Arial"/>
          <w:sz w:val="20"/>
        </w:rPr>
        <w:t>CPST expertise is underused in blog content</w:t>
      </w:r>
    </w:p>
    <w:p>
      <w:pPr>
        <w:spacing w:before="0" w:after="60"/>
        <w:ind w:left="792"/>
      </w:pPr>
      <w:r>
        <w:rPr>
          <w:rFonts w:ascii="Arial" w:hAnsi="Arial"/>
          <w:i/>
          <w:color w:val="8A7D76"/>
          <w:sz w:val="19"/>
        </w:rPr>
        <w:t>The CPST credential gives TMBC standing to write definitive car seat content (installation, expiration dates, convertible vs. infant, LATCH limits) that most parenting sites get wrong. One well-researched, credentialed post per quarter on car seat safety could drive significant organic traffic from high-intent searches.</w:t>
      </w:r>
    </w:p>
    <w:p>
      <w:r>
        <w:br w:type="page"/>
      </w:r>
    </w:p>
    <w:p>
      <w:pPr>
        <w:spacing w:before="360" w:after="80"/>
        <w:pBdr>
          <w:bottom w:val="single" w:sz="6" w:space="1" w:color="6B4C3B"/>
        </w:pBdr>
      </w:pPr>
      <w:r>
        <w:rPr>
          <w:rFonts w:ascii="Arial" w:hAnsi="Arial"/>
          <w:b/>
          <w:color w:val="6B4C3B"/>
          <w:sz w:val="26"/>
        </w:rPr>
        <w:t>SECTION 9 — TECHNICAL &amp; SEO</w:t>
      </w:r>
    </w:p>
    <w:p>
      <w:pPr>
        <w:spacing w:before="240" w:after="60"/>
      </w:pPr>
      <w:r>
        <w:rPr>
          <w:rFonts w:ascii="Arial" w:hAnsi="Arial"/>
          <w:b/>
          <w:color w:val="1A1412"/>
          <w:sz w:val="22"/>
        </w:rPr>
        <w:t>9.1 Technical Stack</w:t>
      </w:r>
    </w:p>
    <w:p>
      <w:pPr>
        <w:pStyle w:val="ListBullet"/>
        <w:spacing w:before="20" w:after="40"/>
        <w:ind w:left="360"/>
      </w:pPr>
      <w:r>
        <w:rPr>
          <w:rFonts w:ascii="Arial" w:hAnsi="Arial"/>
          <w:sz w:val="20"/>
        </w:rPr>
        <w:t>Next.js 14 App Router</w:t>
      </w:r>
    </w:p>
    <w:p>
      <w:pPr>
        <w:pStyle w:val="ListBullet"/>
        <w:spacing w:before="20" w:after="40"/>
        <w:ind w:left="360"/>
      </w:pPr>
      <w:r>
        <w:rPr>
          <w:rFonts w:ascii="Arial" w:hAnsi="Arial"/>
          <w:sz w:val="20"/>
        </w:rPr>
        <w:t>TypeScript strict mode — clean compilation confirmed</w:t>
      </w:r>
    </w:p>
    <w:p>
      <w:pPr>
        <w:pStyle w:val="ListBullet"/>
        <w:spacing w:before="20" w:after="40"/>
        <w:ind w:left="360"/>
      </w:pPr>
      <w:r>
        <w:rPr>
          <w:rFonts w:ascii="Arial" w:hAnsi="Arial"/>
          <w:sz w:val="20"/>
        </w:rPr>
        <w:t>Middleware-based auth and enrollment gating</w:t>
      </w:r>
    </w:p>
    <w:p>
      <w:pPr>
        <w:pStyle w:val="ListBullet"/>
        <w:spacing w:before="20" w:after="40"/>
        <w:ind w:left="360"/>
      </w:pPr>
      <w:r>
        <w:rPr>
          <w:rFonts w:ascii="Arial" w:hAnsi="Arial"/>
          <w:sz w:val="20"/>
        </w:rPr>
        <w:t>NextAuth (next-auth) for session management</w:t>
      </w:r>
    </w:p>
    <w:p>
      <w:pPr>
        <w:pStyle w:val="ListBullet"/>
        <w:spacing w:before="20" w:after="40"/>
        <w:ind w:left="360"/>
      </w:pPr>
      <w:r>
        <w:rPr>
          <w:rFonts w:ascii="Arial" w:hAnsi="Arial"/>
          <w:sz w:val="20"/>
        </w:rPr>
        <w:t>Tailwind CSS</w:t>
      </w:r>
    </w:p>
    <w:p>
      <w:pPr>
        <w:spacing w:before="240" w:after="60"/>
      </w:pPr>
      <w:r>
        <w:rPr>
          <w:rFonts w:ascii="Arial" w:hAnsi="Arial"/>
          <w:b/>
          <w:color w:val="1A1412"/>
          <w:sz w:val="22"/>
        </w:rPr>
        <w:t>9.2 SEO Issues</w:t>
      </w:r>
    </w:p>
    <w:p>
      <w:pPr>
        <w:spacing w:before="40" w:after="60"/>
        <w:ind w:left="288"/>
      </w:pPr>
      <w:r>
        <w:rPr>
          <w:rFonts w:ascii="Arial" w:hAnsi="Arial"/>
          <w:b/>
          <w:color w:val="B82C2C"/>
          <w:sz w:val="20"/>
        </w:rPr>
        <w:t xml:space="preserve">[CRITICAL] </w:t>
      </w:r>
      <w:r>
        <w:rPr>
          <w:rFonts w:ascii="Arial" w:hAnsi="Arial"/>
          <w:sz w:val="20"/>
        </w:rPr>
        <w:t>Dual URL structure creates SEO signal dilution</w:t>
      </w:r>
    </w:p>
    <w:p>
      <w:pPr>
        <w:spacing w:before="0" w:after="60"/>
        <w:ind w:left="792"/>
      </w:pPr>
      <w:r>
        <w:rPr>
          <w:rFonts w:ascii="Arial" w:hAnsi="Arial"/>
          <w:i/>
          <w:color w:val="8A7D76"/>
          <w:sz w:val="19"/>
        </w:rPr>
        <w:t>/academy/ and /learn/ serve related content with no clear canonical relationship. Search engines indexing both will split link equity and create confusion about which URL represents the authoritative Academy resource. Decide on one canonical URL structure and implement 301 redirects from the other.</w:t>
      </w:r>
    </w:p>
    <w:p>
      <w:pPr>
        <w:spacing w:before="40" w:after="60"/>
        <w:ind w:left="288"/>
      </w:pPr>
      <w:r>
        <w:rPr>
          <w:rFonts w:ascii="Arial" w:hAnsi="Arial"/>
          <w:b/>
          <w:color w:val="C96C1E"/>
          <w:sz w:val="20"/>
        </w:rPr>
        <w:t xml:space="preserve">[HIGH] </w:t>
      </w:r>
      <w:r>
        <w:rPr>
          <w:rFonts w:ascii="Arial" w:hAnsi="Arial"/>
          <w:sz w:val="20"/>
        </w:rPr>
        <w:t>Slug 'untitled-post-5' — no keyword signal, unshareable</w:t>
      </w:r>
    </w:p>
    <w:p>
      <w:pPr>
        <w:spacing w:before="0" w:after="60"/>
        <w:ind w:left="792"/>
      </w:pPr>
      <w:r>
        <w:rPr>
          <w:rFonts w:ascii="Arial" w:hAnsi="Arial"/>
          <w:i/>
          <w:color w:val="8A7D76"/>
          <w:sz w:val="19"/>
        </w:rPr>
        <w:t>Covered in Section 8. Also affects crawl budget and internal link value.</w:t>
      </w:r>
    </w:p>
    <w:p>
      <w:pPr>
        <w:spacing w:before="40" w:after="60"/>
        <w:ind w:left="288"/>
      </w:pPr>
      <w:r>
        <w:rPr>
          <w:rFonts w:ascii="Arial" w:hAnsi="Arial"/>
          <w:b/>
          <w:color w:val="2E5C8A"/>
          <w:sz w:val="20"/>
        </w:rPr>
        <w:t xml:space="preserve">[MEDIUM] </w:t>
      </w:r>
      <w:r>
        <w:rPr>
          <w:rFonts w:ascii="Arial" w:hAnsi="Arial"/>
          <w:sz w:val="20"/>
        </w:rPr>
        <w:t>Path routes that redirect to waitlist: SEO dead ends</w:t>
      </w:r>
    </w:p>
    <w:p>
      <w:pPr>
        <w:spacing w:before="0" w:after="60"/>
        <w:ind w:left="792"/>
      </w:pPr>
      <w:r>
        <w:rPr>
          <w:rFonts w:ascii="Arial" w:hAnsi="Arial"/>
          <w:i/>
          <w:color w:val="8A7D76"/>
          <w:sz w:val="19"/>
        </w:rPr>
        <w:t>/academy/registry, /academy/nursery, /academy/stroller, /academy/postpartum all redirect to /learn/waitlist. If these URLs are being crawled and indexed, they're passing no SEO value. If they're not indexed, the redirect is benign but still creates a confusing URL structure. Either make the content available behind a proper enrollment gate, or ensure these URLs are noindexed.</w:t>
      </w:r>
    </w:p>
    <w:p>
      <w:pPr>
        <w:spacing w:before="40" w:after="60"/>
        <w:ind w:left="288"/>
      </w:pPr>
      <w:r>
        <w:rPr>
          <w:rFonts w:ascii="Arial" w:hAnsi="Arial"/>
          <w:b/>
          <w:color w:val="2E5C8A"/>
          <w:sz w:val="20"/>
        </w:rPr>
        <w:t xml:space="preserve">[MEDIUM] </w:t>
      </w:r>
      <w:r>
        <w:rPr>
          <w:rFonts w:ascii="Arial" w:hAnsi="Arial"/>
          <w:sz w:val="20"/>
        </w:rPr>
        <w:t>Sitemap status unverified in this audit</w:t>
      </w:r>
    </w:p>
    <w:p>
      <w:pPr>
        <w:spacing w:before="0" w:after="60"/>
        <w:ind w:left="792"/>
      </w:pPr>
      <w:r>
        <w:rPr>
          <w:rFonts w:ascii="Arial" w:hAnsi="Arial"/>
          <w:i/>
          <w:color w:val="8A7D76"/>
          <w:sz w:val="19"/>
        </w:rPr>
        <w:t>Confirm that a sitemap.xml exists, includes all live public URLs, and excludes gated/redirect URLs. Verify submission to Google Search Console.</w:t>
      </w:r>
    </w:p>
    <w:p>
      <w:pPr>
        <w:spacing w:before="240" w:after="60"/>
      </w:pPr>
      <w:r>
        <w:rPr>
          <w:rFonts w:ascii="Arial" w:hAnsi="Arial"/>
          <w:b/>
          <w:color w:val="1A1412"/>
          <w:sz w:val="22"/>
        </w:rPr>
        <w:t>9.3 Performance Signals</w:t>
      </w:r>
    </w:p>
    <w:p>
      <w:pPr>
        <w:spacing w:before="40" w:after="80"/>
      </w:pPr>
      <w:r>
        <w:rPr>
          <w:rFonts w:ascii="Arial" w:hAnsi="Arial"/>
          <w:i w:val="0"/>
          <w:sz w:val="20"/>
        </w:rPr>
        <w:t>Not independently measured in this audit. Key areas to verify:</w:t>
      </w:r>
    </w:p>
    <w:p>
      <w:pPr>
        <w:pStyle w:val="ListBullet"/>
        <w:spacing w:before="20" w:after="40"/>
        <w:ind w:left="360"/>
      </w:pPr>
      <w:r>
        <w:rPr>
          <w:rFonts w:ascii="Arial" w:hAnsi="Arial"/>
          <w:sz w:val="20"/>
        </w:rPr>
        <w:t>Core Web Vitals: LCP (Largest Contentful Paint), CLS (Cumulative Layout Shift), INP</w:t>
      </w:r>
    </w:p>
    <w:p>
      <w:pPr>
        <w:pStyle w:val="ListBullet"/>
        <w:spacing w:before="20" w:after="40"/>
        <w:ind w:left="360"/>
      </w:pPr>
      <w:r>
        <w:rPr>
          <w:rFonts w:ascii="Arial" w:hAnsi="Arial"/>
          <w:sz w:val="20"/>
        </w:rPr>
        <w:t>Image optimisation: Next.js Image component usage vs. raw &lt;img&gt; tags</w:t>
      </w:r>
    </w:p>
    <w:p>
      <w:pPr>
        <w:pStyle w:val="ListBullet"/>
        <w:spacing w:before="20" w:after="40"/>
        <w:ind w:left="360"/>
      </w:pPr>
      <w:r>
        <w:rPr>
          <w:rFonts w:ascii="Arial" w:hAnsi="Arial"/>
          <w:sz w:val="20"/>
        </w:rPr>
        <w:t>Font loading: web fonts should use font-display: swap</w:t>
      </w:r>
    </w:p>
    <w:p>
      <w:pPr>
        <w:pStyle w:val="ListBullet"/>
        <w:spacing w:before="20" w:after="40"/>
        <w:ind w:left="360"/>
      </w:pPr>
      <w:r>
        <w:rPr>
          <w:rFonts w:ascii="Arial" w:hAnsi="Arial"/>
          <w:sz w:val="20"/>
        </w:rPr>
        <w:t>JavaScript bundle size: App Router enables per-route code splitting by default; verify this is being used correctly</w:t>
      </w:r>
    </w:p>
    <w:p>
      <w:pPr>
        <w:spacing w:before="240" w:after="60"/>
      </w:pPr>
      <w:r>
        <w:rPr>
          <w:rFonts w:ascii="Arial" w:hAnsi="Arial"/>
          <w:b/>
          <w:color w:val="1A1412"/>
          <w:sz w:val="22"/>
        </w:rPr>
        <w:t>9.4 Accessibility Quick-Check</w:t>
      </w:r>
    </w:p>
    <w:p>
      <w:pPr>
        <w:spacing w:before="40" w:after="80"/>
      </w:pPr>
      <w:r>
        <w:rPr>
          <w:rFonts w:ascii="Arial" w:hAnsi="Arial"/>
          <w:i w:val="0"/>
          <w:sz w:val="20"/>
        </w:rPr>
        <w:t>Signals observed in codebase audit:</w:t>
      </w:r>
    </w:p>
    <w:p>
      <w:pPr>
        <w:pStyle w:val="ListBullet"/>
        <w:spacing w:before="20" w:after="40"/>
        <w:ind w:left="360"/>
      </w:pPr>
      <w:r>
        <w:rPr>
          <w:rFonts w:ascii="Arial" w:hAnsi="Arial"/>
          <w:sz w:val="20"/>
        </w:rPr>
        <w:t>✓ aria-current on active nav links</w:t>
      </w:r>
    </w:p>
    <w:p>
      <w:pPr>
        <w:pStyle w:val="ListBullet"/>
        <w:spacing w:before="20" w:after="40"/>
        <w:ind w:left="360"/>
      </w:pPr>
      <w:r>
        <w:rPr>
          <w:rFonts w:ascii="Arial" w:hAnsi="Arial"/>
          <w:sz w:val="20"/>
        </w:rPr>
        <w:t>✓ aria-expanded on hamburger toggle</w:t>
      </w:r>
    </w:p>
    <w:p>
      <w:pPr>
        <w:pStyle w:val="ListBullet"/>
        <w:spacing w:before="20" w:after="40"/>
        <w:ind w:left="360"/>
      </w:pPr>
      <w:r>
        <w:rPr>
          <w:rFonts w:ascii="Arial" w:hAnsi="Arial"/>
          <w:sz w:val="20"/>
        </w:rPr>
        <w:t>✓ aria-label on icon-only button (hamburger)</w:t>
      </w:r>
    </w:p>
    <w:p>
      <w:pPr>
        <w:pStyle w:val="ListBullet"/>
        <w:spacing w:before="20" w:after="40"/>
        <w:ind w:left="360"/>
      </w:pPr>
      <w:r>
        <w:rPr>
          <w:rFonts w:ascii="Arial" w:hAnsi="Arial"/>
          <w:sz w:val="20"/>
        </w:rPr>
        <w:t>✓ aria-hidden on decorative spacer div</w:t>
      </w:r>
    </w:p>
    <w:p>
      <w:pPr>
        <w:pStyle w:val="ListBullet"/>
        <w:spacing w:before="20" w:after="40"/>
        <w:ind w:left="360"/>
      </w:pPr>
      <w:r>
        <w:rPr>
          <w:rFonts w:ascii="Arial" w:hAnsi="Arial"/>
          <w:sz w:val="20"/>
        </w:rPr>
        <w:t>? Skip-to-content link — not confirmed</w:t>
      </w:r>
    </w:p>
    <w:p>
      <w:pPr>
        <w:pStyle w:val="ListBullet"/>
        <w:spacing w:before="20" w:after="40"/>
        <w:ind w:left="360"/>
      </w:pPr>
      <w:r>
        <w:rPr>
          <w:rFonts w:ascii="Arial" w:hAnsi="Arial"/>
          <w:sz w:val="20"/>
        </w:rPr>
        <w:t>? Alt text on product images — not audited</w:t>
      </w:r>
    </w:p>
    <w:p>
      <w:pPr>
        <w:pStyle w:val="ListBullet"/>
        <w:spacing w:before="20" w:after="40"/>
        <w:ind w:left="360"/>
      </w:pPr>
      <w:r>
        <w:rPr>
          <w:rFonts w:ascii="Arial" w:hAnsi="Arial"/>
          <w:sz w:val="20"/>
        </w:rPr>
        <w:t>? Form labels on /learn/waitlist and /consultation — not audited</w:t>
      </w:r>
    </w:p>
    <w:p>
      <w:r>
        <w:br w:type="page"/>
      </w:r>
    </w:p>
    <w:p>
      <w:pPr>
        <w:spacing w:before="360" w:after="80"/>
        <w:pBdr>
          <w:bottom w:val="single" w:sz="6" w:space="1" w:color="6B4C3B"/>
        </w:pBdr>
      </w:pPr>
      <w:r>
        <w:rPr>
          <w:rFonts w:ascii="Arial" w:hAnsi="Arial"/>
          <w:b/>
          <w:color w:val="6B4C3B"/>
          <w:sz w:val="26"/>
        </w:rPr>
        <w:t>SECTION 10 — PRIORITISED RECOMMENDATIONS</w:t>
      </w:r>
    </w:p>
    <w:p>
      <w:pPr>
        <w:spacing w:before="40" w:after="80"/>
      </w:pPr>
      <w:r>
        <w:rPr>
          <w:rFonts w:ascii="Arial" w:hAnsi="Arial"/>
          <w:i w:val="0"/>
          <w:sz w:val="20"/>
        </w:rPr>
        <w:t>The following recommendations are ordered by impact-to-effort ratio. Address Critical items first — they're limiting conversion from traffic the site is already receiving.</w:t>
      </w:r>
    </w:p>
    <w:p>
      <w:pPr>
        <w:spacing w:before="240" w:after="60"/>
      </w:pPr>
      <w:r>
        <w:rPr>
          <w:rFonts w:ascii="Arial" w:hAnsi="Arial"/>
          <w:b/>
          <w:color w:val="1A1412"/>
          <w:sz w:val="22"/>
        </w:rPr>
        <w:t>10.1 Do Immediately (Critical / High — Low Effort)</w:t>
      </w:r>
    </w:p>
    <w:p>
      <w:pPr>
        <w:pStyle w:val="ListBullet"/>
        <w:spacing w:before="20" w:after="40"/>
        <w:ind w:left="360"/>
      </w:pPr>
      <w:r>
        <w:rPr>
          <w:rFonts w:ascii="Arial" w:hAnsi="Arial"/>
          <w:b/>
          <w:sz w:val="20"/>
        </w:rPr>
        <w:t xml:space="preserve">1. </w:t>
      </w:r>
      <w:r>
        <w:rPr>
          <w:rFonts w:ascii="Arial" w:hAnsi="Arial"/>
          <w:sz w:val="20"/>
        </w:rPr>
        <w:t>Fix 'untitled-post-5' blog slug → rename + 301 redirect. 20-minute fix with high SEO and credibility upside.</w:t>
      </w:r>
    </w:p>
    <w:p>
      <w:pPr>
        <w:pStyle w:val="ListBullet"/>
        <w:spacing w:before="20" w:after="40"/>
        <w:ind w:left="360"/>
      </w:pPr>
      <w:r>
        <w:rPr>
          <w:rFonts w:ascii="Arial" w:hAnsi="Arial"/>
          <w:b/>
          <w:sz w:val="20"/>
        </w:rPr>
        <w:t xml:space="preserve">2. </w:t>
      </w:r>
      <w:r>
        <w:rPr>
          <w:rFonts w:ascii="Arial" w:hAnsi="Arial"/>
          <w:sz w:val="20"/>
        </w:rPr>
        <w:t>Standardise CTA label to 'Book a Free Consultation' sitewide. Find-and-replace across 27 files; run tsc --noEmit to confirm no regressions.</w:t>
      </w:r>
    </w:p>
    <w:p>
      <w:pPr>
        <w:pStyle w:val="ListBullet"/>
        <w:spacing w:before="20" w:after="40"/>
        <w:ind w:left="360"/>
      </w:pPr>
      <w:r>
        <w:rPr>
          <w:rFonts w:ascii="Arial" w:hAnsi="Arial"/>
          <w:b/>
          <w:sz w:val="20"/>
        </w:rPr>
        <w:t xml:space="preserve">3. </w:t>
      </w:r>
      <w:r>
        <w:rPr>
          <w:rFonts w:ascii="Arial" w:hAnsi="Arial"/>
          <w:sz w:val="20"/>
        </w:rPr>
        <w:t>Rewrite 'Here's the tea' on the About page. One paragraph; 10 minutes of copy editing.</w:t>
      </w:r>
    </w:p>
    <w:p>
      <w:pPr>
        <w:spacing w:before="240" w:after="60"/>
      </w:pPr>
      <w:r>
        <w:rPr>
          <w:rFonts w:ascii="Arial" w:hAnsi="Arial"/>
          <w:b/>
          <w:color w:val="1A1412"/>
          <w:sz w:val="22"/>
        </w:rPr>
        <w:t>10.2 High Impact / Medium Effort</w:t>
      </w:r>
    </w:p>
    <w:p>
      <w:pPr>
        <w:pStyle w:val="ListBullet"/>
        <w:spacing w:before="20" w:after="40"/>
        <w:ind w:left="360"/>
      </w:pPr>
      <w:r>
        <w:rPr>
          <w:rFonts w:ascii="Arial" w:hAnsi="Arial"/>
          <w:b/>
          <w:sz w:val="20"/>
        </w:rPr>
        <w:t xml:space="preserve">4. </w:t>
      </w:r>
      <w:r>
        <w:rPr>
          <w:rFonts w:ascii="Arial" w:hAnsi="Arial"/>
          <w:sz w:val="20"/>
        </w:rPr>
        <w:t>Update /academy landing page to preview all 29 module titles and hooks. This requires reading from the module data files and rendering them statically. The content already exists — this is a display decision.</w:t>
      </w:r>
    </w:p>
    <w:p>
      <w:pPr>
        <w:pStyle w:val="ListBullet"/>
        <w:spacing w:before="20" w:after="40"/>
        <w:ind w:left="360"/>
      </w:pPr>
      <w:r>
        <w:rPr>
          <w:rFonts w:ascii="Arial" w:hAnsi="Arial"/>
          <w:b/>
          <w:sz w:val="20"/>
        </w:rPr>
        <w:t xml:space="preserve">5. </w:t>
      </w:r>
      <w:r>
        <w:rPr>
          <w:rFonts w:ascii="Arial" w:hAnsi="Arial"/>
          <w:sz w:val="20"/>
        </w:rPr>
        <w:t>Add 'Or book a 1:1 consultation instead →' secondary CTA after each free lesson. One component addition, three placements.</w:t>
      </w:r>
    </w:p>
    <w:p>
      <w:pPr>
        <w:pStyle w:val="ListBullet"/>
        <w:spacing w:before="20" w:after="40"/>
        <w:ind w:left="360"/>
      </w:pPr>
      <w:r>
        <w:rPr>
          <w:rFonts w:ascii="Arial" w:hAnsi="Arial"/>
          <w:b/>
          <w:sz w:val="20"/>
        </w:rPr>
        <w:t xml:space="preserve">6. </w:t>
      </w:r>
      <w:r>
        <w:rPr>
          <w:rFonts w:ascii="Arial" w:hAnsi="Arial"/>
          <w:sz w:val="20"/>
        </w:rPr>
        <w:t>Curate the affiliate logos on the About page. Reduce to 8–12, add a section label, group by category.</w:t>
      </w:r>
    </w:p>
    <w:p>
      <w:pPr>
        <w:pStyle w:val="ListBullet"/>
        <w:spacing w:before="20" w:after="40"/>
        <w:ind w:left="360"/>
      </w:pPr>
      <w:r>
        <w:rPr>
          <w:rFonts w:ascii="Arial" w:hAnsi="Arial"/>
          <w:b/>
          <w:sz w:val="20"/>
        </w:rPr>
        <w:t xml:space="preserve">7. </w:t>
      </w:r>
      <w:r>
        <w:rPr>
          <w:rFonts w:ascii="Arial" w:hAnsi="Arial"/>
          <w:sz w:val="20"/>
        </w:rPr>
        <w:t>Add CPST credential to homepage hero (one line of copy, no design change required).</w:t>
      </w:r>
    </w:p>
    <w:p>
      <w:pPr>
        <w:pStyle w:val="ListBullet"/>
        <w:spacing w:before="20" w:after="40"/>
        <w:ind w:left="360"/>
      </w:pPr>
      <w:r>
        <w:rPr>
          <w:rFonts w:ascii="Arial" w:hAnsi="Arial"/>
          <w:b/>
          <w:sz w:val="20"/>
        </w:rPr>
        <w:t xml:space="preserve">8. </w:t>
      </w:r>
      <w:r>
        <w:rPr>
          <w:rFonts w:ascii="Arial" w:hAnsi="Arial"/>
          <w:sz w:val="20"/>
        </w:rPr>
        <w:t>Add pricing summary to homepage (e.g., 'Services from $149 · Academy from $97') near or below the primary CTA.</w:t>
      </w:r>
    </w:p>
    <w:p>
      <w:pPr>
        <w:spacing w:before="240" w:after="60"/>
      </w:pPr>
      <w:r>
        <w:rPr>
          <w:rFonts w:ascii="Arial" w:hAnsi="Arial"/>
          <w:b/>
          <w:color w:val="1A1412"/>
          <w:sz w:val="22"/>
        </w:rPr>
        <w:t>10.3 Strategic / Requires Decision</w:t>
      </w:r>
    </w:p>
    <w:p>
      <w:pPr>
        <w:pStyle w:val="ListBullet"/>
        <w:spacing w:before="20" w:after="40"/>
        <w:ind w:left="360"/>
      </w:pPr>
      <w:r>
        <w:rPr>
          <w:rFonts w:ascii="Arial" w:hAnsi="Arial"/>
          <w:b/>
          <w:sz w:val="20"/>
        </w:rPr>
        <w:t xml:space="preserve">9. </w:t>
      </w:r>
      <w:r>
        <w:rPr>
          <w:rFonts w:ascii="Arial" w:hAnsi="Arial"/>
          <w:sz w:val="20"/>
        </w:rPr>
        <w:t>Decide on canonical URL structure: /academy/* or /learn/*. Commit, implement 301s, update sitemap, update internal links. This is a one-time architectural decision with long-term SEO value.</w:t>
      </w:r>
    </w:p>
    <w:p>
      <w:pPr>
        <w:pStyle w:val="ListBullet"/>
        <w:spacing w:before="20" w:after="40"/>
        <w:ind w:left="360"/>
      </w:pPr>
      <w:r>
        <w:rPr>
          <w:rFonts w:ascii="Arial" w:hAnsi="Arial"/>
          <w:b/>
          <w:sz w:val="20"/>
        </w:rPr>
        <w:t xml:space="preserve">10. </w:t>
      </w:r>
      <w:r>
        <w:rPr>
          <w:rFonts w:ascii="Arial" w:hAnsi="Arial"/>
          <w:sz w:val="20"/>
        </w:rPr>
        <w:t>Deploy Academy enrollment gate. The content is built and TypeScript-clean. The remaining work is on the enrollment system (user accounts, payment integration, access control). This is the highest-leverage product decision currently outstanding.</w:t>
      </w:r>
    </w:p>
    <w:p>
      <w:pPr>
        <w:pStyle w:val="ListBullet"/>
        <w:spacing w:before="20" w:after="40"/>
        <w:ind w:left="360"/>
      </w:pPr>
      <w:r>
        <w:rPr>
          <w:rFonts w:ascii="Arial" w:hAnsi="Arial"/>
          <w:b/>
          <w:sz w:val="20"/>
        </w:rPr>
        <w:t xml:space="preserve">11. </w:t>
      </w:r>
      <w:r>
        <w:rPr>
          <w:rFonts w:ascii="Arial" w:hAnsi="Arial"/>
          <w:sz w:val="20"/>
        </w:rPr>
        <w:t>Update waitlist framing to urgency-based copy: 'Reserve your spot' or 'Get early access' instead of 'join the waitlist.'</w:t>
      </w:r>
    </w:p>
    <w:p>
      <w:pPr>
        <w:pStyle w:val="ListBullet"/>
        <w:spacing w:before="20" w:after="40"/>
        <w:ind w:left="360"/>
      </w:pPr>
      <w:r>
        <w:rPr>
          <w:rFonts w:ascii="Arial" w:hAnsi="Arial"/>
          <w:b/>
          <w:sz w:val="20"/>
        </w:rPr>
        <w:t xml:space="preserve">12. </w:t>
      </w:r>
      <w:r>
        <w:rPr>
          <w:rFonts w:ascii="Arial" w:hAnsi="Arial"/>
          <w:sz w:val="20"/>
        </w:rPr>
        <w:t>Add usage duration framing to pricing page ('Most families complete the Academy in 4–6 weeks') to reframe monthly pricing psychology.</w:t>
      </w:r>
    </w:p>
    <w:p>
      <w:pPr>
        <w:spacing w:before="240" w:after="60"/>
      </w:pPr>
      <w:r>
        <w:rPr>
          <w:rFonts w:ascii="Arial" w:hAnsi="Arial"/>
          <w:b/>
          <w:color w:val="1A1412"/>
          <w:sz w:val="22"/>
        </w:rPr>
        <w:t>10.4 Content Strategy (Ongoing)</w:t>
      </w:r>
    </w:p>
    <w:p>
      <w:pPr>
        <w:pStyle w:val="ListBullet"/>
        <w:spacing w:before="20" w:after="40"/>
        <w:ind w:left="360"/>
      </w:pPr>
      <w:r>
        <w:rPr>
          <w:rFonts w:ascii="Arial" w:hAnsi="Arial"/>
          <w:b/>
          <w:sz w:val="20"/>
        </w:rPr>
        <w:t xml:space="preserve">13. </w:t>
      </w:r>
      <w:r>
        <w:rPr>
          <w:rFonts w:ascii="Arial" w:hAnsi="Arial"/>
          <w:sz w:val="20"/>
        </w:rPr>
        <w:t>Build internal links from blog posts to relevant free lessons and vice versa.</w:t>
      </w:r>
    </w:p>
    <w:p>
      <w:pPr>
        <w:pStyle w:val="ListBullet"/>
        <w:spacing w:before="20" w:after="40"/>
        <w:ind w:left="360"/>
      </w:pPr>
      <w:r>
        <w:rPr>
          <w:rFonts w:ascii="Arial" w:hAnsi="Arial"/>
          <w:b/>
          <w:sz w:val="20"/>
        </w:rPr>
        <w:t xml:space="preserve">14. </w:t>
      </w:r>
      <w:r>
        <w:rPr>
          <w:rFonts w:ascii="Arial" w:hAnsi="Arial"/>
          <w:sz w:val="20"/>
        </w:rPr>
        <w:t>Write one definitive CPST-credentialed car seat post per quarter. Target: car seat installation, expiration, convertible vs. infant decisions.</w:t>
      </w:r>
    </w:p>
    <w:p>
      <w:pPr>
        <w:pStyle w:val="ListBullet"/>
        <w:spacing w:before="20" w:after="40"/>
        <w:ind w:left="360"/>
      </w:pPr>
      <w:r>
        <w:rPr>
          <w:rFonts w:ascii="Arial" w:hAnsi="Arial"/>
          <w:b/>
          <w:sz w:val="20"/>
        </w:rPr>
        <w:t xml:space="preserve">15. </w:t>
      </w:r>
      <w:r>
        <w:rPr>
          <w:rFonts w:ascii="Arial" w:hAnsi="Arial"/>
          <w:sz w:val="20"/>
        </w:rPr>
        <w:t>Organise existing 17 blog posts into topic clusters with cross-links.</w:t>
      </w:r>
    </w:p>
    <w:p/>
    <w:p>
      <w:pPr>
        <w:pBdr>
          <w:bottom w:val="single" w:sz="4" w:space="1" w:color="C4B5AC"/>
        </w:pBdr>
        <w:spacing w:before="40" w:after="40"/>
      </w:pPr>
    </w:p>
    <w:p/>
    <w:p>
      <w:pPr>
        <w:jc w:val="center"/>
      </w:pPr>
      <w:r>
        <w:rPr>
          <w:rFonts w:ascii="Arial" w:hAnsi="Arial"/>
          <w:color w:val="8A7D76"/>
          <w:sz w:val="18"/>
        </w:rPr>
        <w:t>Taylor-Made Baby Co. · Full Site Audit · June 2026 · Prepared by Claude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