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40" w:rsidRPr="007214C5" w:rsidRDefault="007214C5" w:rsidP="0036293E">
      <w:pPr>
        <w:pStyle w:val="Heading2"/>
      </w:pPr>
      <w:proofErr w:type="spellStart"/>
      <w:r w:rsidRPr="007214C5">
        <w:t>Nội</w:t>
      </w:r>
      <w:proofErr w:type="spellEnd"/>
      <w:r w:rsidRPr="007214C5">
        <w:t xml:space="preserve"> dung </w:t>
      </w:r>
      <w:proofErr w:type="spellStart"/>
      <w:r w:rsidRPr="007214C5">
        <w:t>khóa</w:t>
      </w:r>
      <w:proofErr w:type="spellEnd"/>
      <w:r w:rsidRPr="007214C5">
        <w:t xml:space="preserve"> </w:t>
      </w:r>
      <w:proofErr w:type="spellStart"/>
      <w:r w:rsidRPr="007214C5">
        <w:t>học</w:t>
      </w:r>
      <w:proofErr w:type="spellEnd"/>
      <w:r w:rsidRPr="007214C5">
        <w:t xml:space="preserve"> </w:t>
      </w:r>
      <w:proofErr w:type="spellStart"/>
      <w:r w:rsidRPr="007214C5">
        <w:t>trên</w:t>
      </w:r>
      <w:proofErr w:type="spellEnd"/>
      <w:r w:rsidRPr="007214C5">
        <w:t xml:space="preserve"> </w:t>
      </w:r>
      <w:proofErr w:type="spellStart"/>
      <w:r w:rsidRPr="007214C5">
        <w:t>SenFin</w:t>
      </w:r>
      <w:proofErr w:type="spellEnd"/>
      <w:r w:rsidRPr="007214C5">
        <w:t>:</w:t>
      </w:r>
      <w:bookmarkStart w:id="0" w:name="_GoBack"/>
      <w:bookmarkEnd w:id="0"/>
    </w:p>
    <w:p w:rsidR="007214C5" w:rsidRDefault="007214C5" w:rsidP="007214C5">
      <w:pPr>
        <w:pStyle w:val="Heading3"/>
      </w:pPr>
      <w:r>
        <w:t>Quantitative Methods</w:t>
      </w:r>
    </w:p>
    <w:p w:rsidR="00796492" w:rsidRDefault="00402A75" w:rsidP="0036293E">
      <w:pPr>
        <w:pStyle w:val="ListParagraph"/>
        <w:numPr>
          <w:ilvl w:val="0"/>
          <w:numId w:val="1"/>
        </w:numPr>
      </w:pPr>
      <w:r>
        <w:t>Rates and returns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Time value of money in Finance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Statistical measures of Asset returns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Probability Trees and Conditional Expectation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Portfolio mathematics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Simulation Methods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Estimation and Inference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Hypothesis testing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Parametric and non-parametric tests of independence</w:t>
      </w:r>
    </w:p>
    <w:p w:rsidR="00402A75" w:rsidRDefault="00402A75" w:rsidP="0036293E">
      <w:pPr>
        <w:pStyle w:val="ListParagraph"/>
        <w:numPr>
          <w:ilvl w:val="0"/>
          <w:numId w:val="1"/>
        </w:numPr>
      </w:pPr>
      <w:r>
        <w:t>Simple linear regression</w:t>
      </w:r>
    </w:p>
    <w:p w:rsidR="00402A75" w:rsidRPr="00796492" w:rsidRDefault="00402A75" w:rsidP="0036293E">
      <w:pPr>
        <w:pStyle w:val="ListParagraph"/>
        <w:numPr>
          <w:ilvl w:val="0"/>
          <w:numId w:val="1"/>
        </w:numPr>
      </w:pPr>
      <w:r>
        <w:t>Intro to big data techniques</w:t>
      </w:r>
    </w:p>
    <w:p w:rsidR="007214C5" w:rsidRDefault="007214C5" w:rsidP="007214C5">
      <w:pPr>
        <w:pStyle w:val="Heading3"/>
      </w:pPr>
      <w:r>
        <w:t>Economics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Firms and market structures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Business cycles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Fiscal policy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Monetary policy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Introduction to Geopolitics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International Trade</w:t>
      </w:r>
    </w:p>
    <w:p w:rsidR="00402A75" w:rsidRDefault="00402A75" w:rsidP="0036293E">
      <w:pPr>
        <w:pStyle w:val="ListParagraph"/>
        <w:numPr>
          <w:ilvl w:val="0"/>
          <w:numId w:val="2"/>
        </w:numPr>
      </w:pPr>
      <w:r>
        <w:t>Capital Flows and the FX market</w:t>
      </w:r>
    </w:p>
    <w:p w:rsidR="00402A75" w:rsidRPr="00402A75" w:rsidRDefault="00402A75" w:rsidP="0036293E">
      <w:pPr>
        <w:pStyle w:val="ListParagraph"/>
        <w:numPr>
          <w:ilvl w:val="0"/>
          <w:numId w:val="2"/>
        </w:numPr>
      </w:pPr>
      <w:r>
        <w:t>Exchange Rate Calculations</w:t>
      </w:r>
    </w:p>
    <w:p w:rsidR="007214C5" w:rsidRDefault="007214C5" w:rsidP="007214C5">
      <w:pPr>
        <w:pStyle w:val="Heading3"/>
      </w:pPr>
      <w:r>
        <w:t>Financial Statement Analysis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Introduction to Financial Statement Analysis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Analyzing Income Statements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Analyzing Balance Sheets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Analyzing Cash Flows I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Analyzing Cash Flow II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Analyzing of Inventories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Analysis of Long-term Assets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Topics in Long-term Liabilities and Equity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Analysis of Income Taxes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 xml:space="preserve">Financial Reporting Quality </w:t>
      </w:r>
    </w:p>
    <w:p w:rsidR="00402A75" w:rsidRDefault="00402A75" w:rsidP="0036293E">
      <w:pPr>
        <w:pStyle w:val="ListParagraph"/>
        <w:numPr>
          <w:ilvl w:val="0"/>
          <w:numId w:val="3"/>
        </w:numPr>
      </w:pPr>
      <w:r>
        <w:t>Financial Analysis techniques</w:t>
      </w:r>
    </w:p>
    <w:p w:rsidR="00402A75" w:rsidRPr="00402A75" w:rsidRDefault="00402A75" w:rsidP="0036293E">
      <w:pPr>
        <w:pStyle w:val="ListParagraph"/>
        <w:numPr>
          <w:ilvl w:val="0"/>
          <w:numId w:val="3"/>
        </w:numPr>
      </w:pPr>
      <w:r>
        <w:t>Introduction to Financial Statement Modeling</w:t>
      </w:r>
    </w:p>
    <w:p w:rsidR="007214C5" w:rsidRDefault="007214C5" w:rsidP="007214C5">
      <w:pPr>
        <w:pStyle w:val="Heading3"/>
      </w:pPr>
      <w:r>
        <w:lastRenderedPageBreak/>
        <w:t>Corporate Issuers</w:t>
      </w:r>
    </w:p>
    <w:p w:rsidR="00796492" w:rsidRDefault="008E1077" w:rsidP="0036293E">
      <w:pPr>
        <w:pStyle w:val="ListParagraph"/>
        <w:numPr>
          <w:ilvl w:val="0"/>
          <w:numId w:val="4"/>
        </w:numPr>
      </w:pPr>
      <w:r>
        <w:t>Organizational Forms, Corporate Issuer Features, and Ownership</w:t>
      </w:r>
    </w:p>
    <w:p w:rsidR="008E1077" w:rsidRDefault="008E1077" w:rsidP="0036293E">
      <w:pPr>
        <w:pStyle w:val="ListParagraph"/>
        <w:numPr>
          <w:ilvl w:val="0"/>
          <w:numId w:val="4"/>
        </w:numPr>
      </w:pPr>
      <w:r>
        <w:t>Investors and Other Stakeholders</w:t>
      </w:r>
    </w:p>
    <w:p w:rsidR="008E1077" w:rsidRDefault="008E1077" w:rsidP="0036293E">
      <w:pPr>
        <w:pStyle w:val="ListParagraph"/>
        <w:numPr>
          <w:ilvl w:val="0"/>
          <w:numId w:val="4"/>
        </w:numPr>
      </w:pPr>
      <w:r>
        <w:t>Corporate Governance: Conflicts, Mechanisms, Risks, and Benefits</w:t>
      </w:r>
    </w:p>
    <w:p w:rsidR="008E1077" w:rsidRDefault="008E1077" w:rsidP="0036293E">
      <w:pPr>
        <w:pStyle w:val="ListParagraph"/>
        <w:numPr>
          <w:ilvl w:val="0"/>
          <w:numId w:val="4"/>
        </w:numPr>
      </w:pPr>
      <w:r>
        <w:t>Working Capital and Liquidity</w:t>
      </w:r>
    </w:p>
    <w:p w:rsidR="008E1077" w:rsidRDefault="008E1077" w:rsidP="0036293E">
      <w:pPr>
        <w:pStyle w:val="ListParagraph"/>
        <w:numPr>
          <w:ilvl w:val="0"/>
          <w:numId w:val="4"/>
        </w:numPr>
      </w:pPr>
      <w:r>
        <w:t>Capital Investment and Capital Allocation</w:t>
      </w:r>
    </w:p>
    <w:p w:rsidR="008E1077" w:rsidRDefault="008E1077" w:rsidP="0036293E">
      <w:pPr>
        <w:pStyle w:val="ListParagraph"/>
        <w:numPr>
          <w:ilvl w:val="0"/>
          <w:numId w:val="4"/>
        </w:numPr>
      </w:pPr>
      <w:r>
        <w:t>Capital Structure</w:t>
      </w:r>
    </w:p>
    <w:p w:rsidR="008E1077" w:rsidRPr="00796492" w:rsidRDefault="008E1077" w:rsidP="0036293E">
      <w:pPr>
        <w:pStyle w:val="ListParagraph"/>
        <w:numPr>
          <w:ilvl w:val="0"/>
          <w:numId w:val="4"/>
        </w:numPr>
      </w:pPr>
      <w:r>
        <w:t>Business Models</w:t>
      </w:r>
    </w:p>
    <w:p w:rsidR="007214C5" w:rsidRDefault="007214C5" w:rsidP="007214C5">
      <w:pPr>
        <w:pStyle w:val="Heading3"/>
      </w:pPr>
      <w:r>
        <w:t>Equity Investments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Market Organization and Structure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Security Market Indexes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Market Efficiency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 xml:space="preserve">Overview of Equity Securities 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Company Analysis: Past and present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Industry and Competitive Analysis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Company Analysis: Forecasting</w:t>
      </w:r>
    </w:p>
    <w:p w:rsidR="008E1077" w:rsidRDefault="008E1077" w:rsidP="0036293E">
      <w:pPr>
        <w:pStyle w:val="ListParagraph"/>
        <w:numPr>
          <w:ilvl w:val="0"/>
          <w:numId w:val="5"/>
        </w:numPr>
      </w:pPr>
      <w:r>
        <w:t>Equity Valuation: Concepts and Basic Tools</w:t>
      </w:r>
    </w:p>
    <w:p w:rsidR="007214C5" w:rsidRPr="008E1077" w:rsidRDefault="007214C5" w:rsidP="008E1077">
      <w:r w:rsidRPr="008E1077">
        <w:rPr>
          <w:b/>
        </w:rPr>
        <w:t>Fixed Income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 w:rsidRPr="008E1077">
        <w:t>Fixed-income Instrument Features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>
        <w:t>Fixed-income Cash Flows and Types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>
        <w:t>Fixed-income Issuance and Trading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>
        <w:t>Fixed-income Markets for Corporate Issuers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>
        <w:t>Fixed-income Markets for Government Issuers</w:t>
      </w:r>
    </w:p>
    <w:p w:rsidR="008E1077" w:rsidRDefault="008E1077" w:rsidP="0036293E">
      <w:pPr>
        <w:pStyle w:val="ListParagraph"/>
        <w:numPr>
          <w:ilvl w:val="0"/>
          <w:numId w:val="6"/>
        </w:numPr>
      </w:pPr>
      <w:r>
        <w:t>Fixed-income Bond valuation: Prices and Yields</w:t>
      </w:r>
    </w:p>
    <w:p w:rsidR="008E1077" w:rsidRDefault="00BD55B4" w:rsidP="0036293E">
      <w:pPr>
        <w:pStyle w:val="ListParagraph"/>
        <w:numPr>
          <w:ilvl w:val="0"/>
          <w:numId w:val="6"/>
        </w:numPr>
      </w:pPr>
      <w:r>
        <w:t>Yield and Yield Spread Measures for Fixed-Rates Bonds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Yield and Yield Spread Measures for Floating-Rates Instruments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The Term Structure of Interest Rates: Spot, Par, and Forward Curves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Interest Rate Risk and Return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Yield-Based Bond Duration Measures and Properties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Yield-Based Bond Convexity and Portfolio Properties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Curve-based and Empirical fixed-income risk measures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 xml:space="preserve">Credit risk 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Credit Analysis for Government issuers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Credit Analysis for Corporate issuers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Fixed-income Securitization</w:t>
      </w:r>
    </w:p>
    <w:p w:rsidR="00BD55B4" w:rsidRDefault="00BD55B4" w:rsidP="0036293E">
      <w:pPr>
        <w:pStyle w:val="ListParagraph"/>
        <w:numPr>
          <w:ilvl w:val="0"/>
          <w:numId w:val="6"/>
        </w:numPr>
      </w:pPr>
      <w:r>
        <w:t>Asset-backed Security instrument and market features</w:t>
      </w:r>
    </w:p>
    <w:p w:rsidR="008E1077" w:rsidRPr="00BD55B4" w:rsidRDefault="00BD55B4" w:rsidP="0036293E">
      <w:pPr>
        <w:pStyle w:val="ListParagraph"/>
        <w:numPr>
          <w:ilvl w:val="0"/>
          <w:numId w:val="6"/>
        </w:numPr>
      </w:pPr>
      <w:r>
        <w:t>Mortgage-backed security instruments and market features</w:t>
      </w:r>
    </w:p>
    <w:p w:rsidR="007214C5" w:rsidRDefault="007214C5" w:rsidP="007214C5">
      <w:pPr>
        <w:pStyle w:val="Heading3"/>
      </w:pPr>
      <w:r>
        <w:lastRenderedPageBreak/>
        <w:t>Derivatives</w:t>
      </w:r>
    </w:p>
    <w:p w:rsidR="00BD55B4" w:rsidRDefault="00BD55B4" w:rsidP="0036293E">
      <w:pPr>
        <w:pStyle w:val="ListParagraph"/>
        <w:numPr>
          <w:ilvl w:val="0"/>
          <w:numId w:val="7"/>
        </w:numPr>
      </w:pPr>
      <w:r>
        <w:t>Derivatives instrument and Derivatives market features</w:t>
      </w:r>
    </w:p>
    <w:p w:rsidR="00BD55B4" w:rsidRDefault="00BD55B4" w:rsidP="0036293E">
      <w:pPr>
        <w:pStyle w:val="ListParagraph"/>
        <w:numPr>
          <w:ilvl w:val="0"/>
          <w:numId w:val="7"/>
        </w:numPr>
      </w:pPr>
      <w:r>
        <w:t xml:space="preserve">Forward Commitment and Contingent claim features and instruments </w:t>
      </w:r>
    </w:p>
    <w:p w:rsidR="00BD55B4" w:rsidRDefault="00BD55B4" w:rsidP="0036293E">
      <w:pPr>
        <w:pStyle w:val="ListParagraph"/>
        <w:numPr>
          <w:ilvl w:val="0"/>
          <w:numId w:val="7"/>
        </w:numPr>
      </w:pPr>
      <w:r>
        <w:t>Arbitrage, replication, and the cost of carry in pricing derivatives</w:t>
      </w:r>
    </w:p>
    <w:p w:rsidR="00BD55B4" w:rsidRDefault="00BD55B4" w:rsidP="0036293E">
      <w:pPr>
        <w:pStyle w:val="ListParagraph"/>
        <w:numPr>
          <w:ilvl w:val="0"/>
          <w:numId w:val="7"/>
        </w:numPr>
      </w:pPr>
      <w:r>
        <w:t xml:space="preserve">Pricing and Valuation of forward contracts and for an underlying with varying maturities </w:t>
      </w:r>
    </w:p>
    <w:p w:rsidR="00BD55B4" w:rsidRDefault="00BD55B4" w:rsidP="0036293E">
      <w:pPr>
        <w:pStyle w:val="ListParagraph"/>
        <w:numPr>
          <w:ilvl w:val="0"/>
          <w:numId w:val="7"/>
        </w:numPr>
      </w:pPr>
      <w:r>
        <w:t xml:space="preserve">Pricing </w:t>
      </w:r>
      <w:r w:rsidR="0036293E">
        <w:t xml:space="preserve">and valuation of </w:t>
      </w:r>
      <w:r>
        <w:t>Future contracts</w:t>
      </w:r>
    </w:p>
    <w:p w:rsidR="00BD55B4" w:rsidRDefault="0036293E" w:rsidP="0036293E">
      <w:pPr>
        <w:pStyle w:val="ListParagraph"/>
        <w:numPr>
          <w:ilvl w:val="0"/>
          <w:numId w:val="7"/>
        </w:numPr>
      </w:pPr>
      <w:r>
        <w:t>Pricing and Valuation of Interest rates and other Swaps</w:t>
      </w:r>
    </w:p>
    <w:p w:rsidR="0036293E" w:rsidRDefault="0036293E" w:rsidP="0036293E">
      <w:pPr>
        <w:pStyle w:val="ListParagraph"/>
        <w:numPr>
          <w:ilvl w:val="0"/>
          <w:numId w:val="7"/>
        </w:numPr>
      </w:pPr>
      <w:r>
        <w:t>Pricing and Valuation of Options</w:t>
      </w:r>
    </w:p>
    <w:p w:rsidR="0036293E" w:rsidRDefault="0036293E" w:rsidP="0036293E">
      <w:pPr>
        <w:pStyle w:val="ListParagraph"/>
        <w:numPr>
          <w:ilvl w:val="0"/>
          <w:numId w:val="7"/>
        </w:numPr>
      </w:pPr>
      <w:r>
        <w:t>Option replication using put-call parity</w:t>
      </w:r>
    </w:p>
    <w:p w:rsidR="0036293E" w:rsidRDefault="0036293E" w:rsidP="0036293E">
      <w:pPr>
        <w:pStyle w:val="ListParagraph"/>
        <w:numPr>
          <w:ilvl w:val="0"/>
          <w:numId w:val="7"/>
        </w:numPr>
      </w:pPr>
      <w:r>
        <w:t>Valuing a derivatives using a one-period binomial model</w:t>
      </w:r>
    </w:p>
    <w:p w:rsidR="0036293E" w:rsidRPr="00BD55B4" w:rsidRDefault="0036293E" w:rsidP="00BD55B4"/>
    <w:p w:rsidR="007214C5" w:rsidRDefault="007214C5" w:rsidP="007214C5">
      <w:pPr>
        <w:pStyle w:val="Heading3"/>
      </w:pPr>
      <w:r>
        <w:t>Portfolio Management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Portfolio Risk and Return: part I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P</w:t>
      </w:r>
      <w:r>
        <w:t>ortfolio Risk and Return: part II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Portfolio Management: an overview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Basic of portfolio Planning and Construction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The behavioral biases of individuals</w:t>
      </w:r>
    </w:p>
    <w:p w:rsidR="0036293E" w:rsidRDefault="0036293E" w:rsidP="0036293E">
      <w:pPr>
        <w:pStyle w:val="ListParagraph"/>
        <w:numPr>
          <w:ilvl w:val="0"/>
          <w:numId w:val="8"/>
        </w:numPr>
      </w:pPr>
      <w:r>
        <w:t>Introduction to Risk Management</w:t>
      </w:r>
    </w:p>
    <w:p w:rsidR="0036293E" w:rsidRDefault="0036293E" w:rsidP="0036293E"/>
    <w:p w:rsidR="0036293E" w:rsidRPr="0036293E" w:rsidRDefault="0036293E" w:rsidP="0036293E"/>
    <w:p w:rsidR="007214C5" w:rsidRDefault="007214C5" w:rsidP="007214C5"/>
    <w:p w:rsidR="007214C5" w:rsidRDefault="007214C5" w:rsidP="007214C5"/>
    <w:sectPr w:rsidR="00721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E04"/>
    <w:multiLevelType w:val="hybridMultilevel"/>
    <w:tmpl w:val="F96A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0C17"/>
    <w:multiLevelType w:val="hybridMultilevel"/>
    <w:tmpl w:val="F9C83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0B98"/>
    <w:multiLevelType w:val="hybridMultilevel"/>
    <w:tmpl w:val="D3F2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33A3B"/>
    <w:multiLevelType w:val="hybridMultilevel"/>
    <w:tmpl w:val="3ABA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915BF"/>
    <w:multiLevelType w:val="hybridMultilevel"/>
    <w:tmpl w:val="DB22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5E95"/>
    <w:multiLevelType w:val="hybridMultilevel"/>
    <w:tmpl w:val="9B04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B4F04"/>
    <w:multiLevelType w:val="hybridMultilevel"/>
    <w:tmpl w:val="D8C4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566A7"/>
    <w:multiLevelType w:val="hybridMultilevel"/>
    <w:tmpl w:val="C302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C5"/>
    <w:rsid w:val="001E1940"/>
    <w:rsid w:val="0036293E"/>
    <w:rsid w:val="00402A75"/>
    <w:rsid w:val="007214C5"/>
    <w:rsid w:val="00796492"/>
    <w:rsid w:val="008E1077"/>
    <w:rsid w:val="00AC3C74"/>
    <w:rsid w:val="00BD55B4"/>
    <w:rsid w:val="00D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7E91"/>
  <w15:chartTrackingRefBased/>
  <w15:docId w15:val="{D48947AB-1580-483E-A21C-AC20C0C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C74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DF0981"/>
    <w:pPr>
      <w:keepNext/>
      <w:keepLines/>
      <w:spacing w:before="360" w:after="120" w:line="360" w:lineRule="auto"/>
      <w:ind w:left="7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293E"/>
    <w:pPr>
      <w:keepNext/>
      <w:keepLines/>
      <w:spacing w:before="200" w:after="120" w:line="360" w:lineRule="auto"/>
      <w:jc w:val="left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93E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8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93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93E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6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2025-06-10T06:54:00Z</dcterms:created>
  <dcterms:modified xsi:type="dcterms:W3CDTF">2025-06-10T07:52:00Z</dcterms:modified>
</cp:coreProperties>
</file>