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FD" w:rsidRPr="00031992" w:rsidRDefault="00084FFD">
      <w:pPr>
        <w:rPr>
          <w:rFonts w:ascii="Verdana" w:hAnsi="Verdana"/>
        </w:rPr>
      </w:pPr>
    </w:p>
    <w:p w:rsidR="00031992" w:rsidRPr="00031992" w:rsidRDefault="00031992" w:rsidP="00031992">
      <w:pPr>
        <w:pStyle w:val="Heading1"/>
        <w:shd w:val="clear" w:color="auto" w:fill="FAFAFB"/>
        <w:spacing w:before="0" w:beforeAutospacing="0" w:after="75" w:afterAutospacing="0" w:line="600" w:lineRule="atLeast"/>
        <w:ind w:right="900"/>
        <w:jc w:val="center"/>
        <w:textAlignment w:val="baseline"/>
        <w:rPr>
          <w:rFonts w:ascii="Verdana" w:hAnsi="Verdana" w:cs="Helvetica"/>
          <w:b w:val="0"/>
          <w:bCs w:val="0"/>
          <w:spacing w:val="-12"/>
        </w:rPr>
      </w:pPr>
      <w:bookmarkStart w:id="0" w:name="_GoBack"/>
      <w:r w:rsidRPr="00031992">
        <w:rPr>
          <w:rFonts w:ascii="Verdana" w:hAnsi="Verdana" w:cs="Helvetica"/>
          <w:b w:val="0"/>
          <w:bCs w:val="0"/>
          <w:spacing w:val="-12"/>
        </w:rPr>
        <w:t>Balance transfer failures</w:t>
      </w:r>
    </w:p>
    <w:bookmarkEnd w:id="0"/>
    <w:p w:rsidR="00031992" w:rsidRPr="00031992" w:rsidRDefault="00031992" w:rsidP="00031992">
      <w:pPr>
        <w:shd w:val="clear" w:color="auto" w:fill="FFFFFF"/>
        <w:spacing w:after="0" w:line="240" w:lineRule="auto"/>
        <w:outlineLvl w:val="0"/>
        <w:rPr>
          <w:rFonts w:ascii="Verdana" w:eastAsia="Times New Roman" w:hAnsi="Verdana" w:cs="Segoe UI"/>
          <w:spacing w:val="-2"/>
          <w:kern w:val="36"/>
          <w:lang w:bidi="te-IN"/>
        </w:rPr>
      </w:pPr>
    </w:p>
    <w:p w:rsidR="00031992" w:rsidRDefault="00031992" w:rsidP="00031992">
      <w:pPr>
        <w:shd w:val="clear" w:color="auto" w:fill="FFFFFF"/>
        <w:spacing w:after="0" w:line="240" w:lineRule="auto"/>
        <w:outlineLvl w:val="0"/>
        <w:rPr>
          <w:rFonts w:ascii="Verdana" w:eastAsia="Times New Roman" w:hAnsi="Verdana" w:cs="Segoe UI"/>
          <w:spacing w:val="-2"/>
          <w:kern w:val="36"/>
          <w:lang w:bidi="te-IN"/>
        </w:rPr>
      </w:pPr>
    </w:p>
    <w:p w:rsidR="00031992" w:rsidRPr="00031992" w:rsidRDefault="00031992" w:rsidP="00031992">
      <w:pPr>
        <w:shd w:val="clear" w:color="auto" w:fill="FFFFFF"/>
        <w:spacing w:after="0" w:line="240" w:lineRule="auto"/>
        <w:outlineLvl w:val="0"/>
        <w:rPr>
          <w:rFonts w:ascii="Verdana" w:eastAsia="Times New Roman" w:hAnsi="Verdana" w:cs="Segoe UI"/>
          <w:spacing w:val="-2"/>
          <w:kern w:val="36"/>
          <w:sz w:val="48"/>
          <w:szCs w:val="48"/>
          <w:lang w:bidi="te-IN"/>
        </w:rPr>
      </w:pPr>
      <w:r>
        <w:rPr>
          <w:rFonts w:ascii="Verdana" w:eastAsia="Times New Roman" w:hAnsi="Verdana" w:cs="Segoe UI"/>
          <w:spacing w:val="-2"/>
          <w:kern w:val="36"/>
          <w:sz w:val="48"/>
          <w:szCs w:val="48"/>
          <w:lang w:bidi="te-IN"/>
        </w:rPr>
        <w:t xml:space="preserve">             </w:t>
      </w:r>
      <w:hyperlink r:id="rId5" w:history="1">
        <w:r w:rsidRPr="00031992">
          <w:rPr>
            <w:rFonts w:ascii="Verdana" w:eastAsia="Times New Roman" w:hAnsi="Verdana" w:cs="Segoe UI"/>
            <w:spacing w:val="-2"/>
            <w:kern w:val="36"/>
            <w:sz w:val="48"/>
            <w:szCs w:val="48"/>
            <w:u w:val="single"/>
            <w:lang w:bidi="te-IN"/>
          </w:rPr>
          <w:t>Errors during settlement</w:t>
        </w:r>
      </w:hyperlink>
    </w:p>
    <w:p w:rsidR="00031992" w:rsidRPr="00031992" w:rsidRDefault="00031992" w:rsidP="00031992">
      <w:pPr>
        <w:shd w:val="clear" w:color="auto" w:fill="FFFFFF"/>
        <w:spacing w:after="0" w:line="240" w:lineRule="auto"/>
        <w:outlineLvl w:val="0"/>
        <w:rPr>
          <w:rFonts w:ascii="Verdana" w:eastAsia="Times New Roman" w:hAnsi="Verdana" w:cs="Segoe UI"/>
          <w:spacing w:val="-2"/>
          <w:kern w:val="36"/>
          <w:lang w:bidi="te-IN"/>
        </w:rPr>
      </w:pP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KD256: There are no accrued amounts; settlement is not possible.</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In general, RA data is calculated and settled until statuses TECO or DLV are active in the order. As soon as any of these two statuses is active in the order, Settlement of actual costs takes place.</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drawing>
          <wp:inline distT="0" distB="0" distL="0" distR="0">
            <wp:extent cx="6667500" cy="2457450"/>
            <wp:effectExtent l="0" t="0" r="0" b="0"/>
            <wp:docPr id="10" name="Picture 10" descr="https://wiki.scn.sap.com/wiki/download/attachments/467542157/2017-06-23_14-01-00.png?version=1&amp;modificationDate=149821932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scn.sap.com/wiki/download/attachments/467542157/2017-06-23_14-01-00.png?version=1&amp;modificationDate=1498219320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457450"/>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This error happens because there are missing calculations or customizing in Results analysis (OKG* transactions). If the order (controlling object, in general) </w:t>
      </w:r>
      <w:r w:rsidRPr="00031992">
        <w:rPr>
          <w:rStyle w:val="Strong"/>
          <w:rFonts w:ascii="Verdana" w:hAnsi="Verdana" w:cs="Segoe UI"/>
          <w:sz w:val="22"/>
          <w:szCs w:val="22"/>
        </w:rPr>
        <w:t>carries a Results Analysis key</w:t>
      </w:r>
      <w:r w:rsidRPr="00031992">
        <w:rPr>
          <w:rFonts w:ascii="Verdana" w:hAnsi="Verdana" w:cs="Segoe UI"/>
          <w:sz w:val="22"/>
          <w:szCs w:val="22"/>
        </w:rPr>
        <w:t>, please, perform the following checks:</w:t>
      </w:r>
    </w:p>
    <w:p w:rsidR="00031992" w:rsidRPr="00031992" w:rsidRDefault="00031992" w:rsidP="00031992">
      <w:pPr>
        <w:numPr>
          <w:ilvl w:val="0"/>
          <w:numId w:val="1"/>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Check if WIP / RA data has been calculated for the order (data appears in table COSB).</w:t>
      </w:r>
    </w:p>
    <w:p w:rsidR="00031992" w:rsidRPr="00031992" w:rsidRDefault="00031992" w:rsidP="00031992">
      <w:pPr>
        <w:numPr>
          <w:ilvl w:val="0"/>
          <w:numId w:val="1"/>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Check if WIP has already been settled, so there will be no delta from the previous settlement of RA data.</w:t>
      </w:r>
    </w:p>
    <w:p w:rsidR="00031992" w:rsidRPr="00031992" w:rsidRDefault="00031992" w:rsidP="00031992">
      <w:pPr>
        <w:numPr>
          <w:ilvl w:val="0"/>
          <w:numId w:val="1"/>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 xml:space="preserve">Check if the </w:t>
      </w:r>
      <w:proofErr w:type="spellStart"/>
      <w:r w:rsidRPr="00031992">
        <w:rPr>
          <w:rFonts w:ascii="Verdana" w:hAnsi="Verdana" w:cs="Segoe UI"/>
        </w:rPr>
        <w:t>there</w:t>
      </w:r>
      <w:proofErr w:type="spellEnd"/>
      <w:r w:rsidRPr="00031992">
        <w:rPr>
          <w:rFonts w:ascii="Verdana" w:hAnsi="Verdana" w:cs="Segoe UI"/>
        </w:rPr>
        <w:t xml:space="preserve"> are posting rules maintained for the CO Area, RA version... in the customizing (OKG8).</w:t>
      </w:r>
    </w:p>
    <w:p w:rsidR="00031992" w:rsidRPr="00031992" w:rsidRDefault="00031992" w:rsidP="00031992">
      <w:pPr>
        <w:numPr>
          <w:ilvl w:val="0"/>
          <w:numId w:val="1"/>
        </w:numPr>
        <w:shd w:val="clear" w:color="auto" w:fill="FFFFFF"/>
        <w:spacing w:before="100" w:beforeAutospacing="1" w:after="240" w:line="288" w:lineRule="atLeast"/>
        <w:ind w:left="0"/>
        <w:rPr>
          <w:rFonts w:ascii="Verdana" w:hAnsi="Verdana" w:cs="Segoe UI"/>
        </w:rPr>
      </w:pPr>
      <w:r w:rsidRPr="00031992">
        <w:rPr>
          <w:rFonts w:ascii="Verdana" w:hAnsi="Verdana" w:cs="Segoe UI"/>
        </w:rPr>
        <w:t>Check if any of the RA versions has flag "Transfer to financial accounting" set (transaction OKG2).</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lastRenderedPageBreak/>
        <w:drawing>
          <wp:inline distT="0" distB="0" distL="0" distR="0">
            <wp:extent cx="6667500" cy="2952750"/>
            <wp:effectExtent l="0" t="0" r="0" b="0"/>
            <wp:docPr id="9" name="Picture 9" descr="https://wiki.scn.sap.com/wiki/download/attachments/467542157/2017-06-23_14-13-40.png?version=1&amp;modificationDate=14982201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scn.sap.com/wiki/download/attachments/467542157/2017-06-23_14-13-40.png?version=1&amp;modificationDate=1498220141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952750"/>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If any of the checks above fails, KD256 error will correctly prompt.</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KD213: Either the sender is already settled, or there is nothing to settle</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When settling a CO Object for a specific posing period-fiscal year, the settlement code will be executed if the balance of the order </w:t>
      </w:r>
      <w:r w:rsidRPr="00031992">
        <w:rPr>
          <w:rStyle w:val="Strong"/>
          <w:rFonts w:ascii="Verdana" w:hAnsi="Verdana" w:cs="Segoe UI"/>
          <w:sz w:val="22"/>
          <w:szCs w:val="22"/>
        </w:rPr>
        <w:t>is not zero</w:t>
      </w:r>
      <w:r w:rsidRPr="00031992">
        <w:rPr>
          <w:rFonts w:ascii="Verdana" w:hAnsi="Verdana" w:cs="Segoe UI"/>
          <w:sz w:val="22"/>
          <w:szCs w:val="22"/>
        </w:rPr>
        <w:t>. Otherwise, KD213 will prompt. However, there are some considerations depending on the settlement rule type (check this </w:t>
      </w:r>
      <w:hyperlink r:id="rId8" w:history="1">
        <w:r w:rsidRPr="00031992">
          <w:rPr>
            <w:rStyle w:val="Hyperlink"/>
            <w:rFonts w:ascii="Verdana" w:hAnsi="Verdana"/>
            <w:color w:val="auto"/>
            <w:sz w:val="22"/>
            <w:szCs w:val="22"/>
          </w:rPr>
          <w:t>link</w:t>
        </w:r>
      </w:hyperlink>
      <w:r w:rsidRPr="00031992">
        <w:rPr>
          <w:rFonts w:ascii="Verdana" w:hAnsi="Verdana" w:cs="Segoe UI"/>
          <w:sz w:val="22"/>
          <w:szCs w:val="22"/>
        </w:rPr>
        <w:t> for more detailed information):</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drawing>
          <wp:inline distT="0" distB="0" distL="0" distR="0">
            <wp:extent cx="6667500" cy="3486150"/>
            <wp:effectExtent l="0" t="0" r="0" b="0"/>
            <wp:docPr id="8" name="Picture 8" descr="https://wiki.scn.sap.com/wiki/download/attachments/467542157/2017-07-17_11-21-53.png?version=2&amp;modificationDate=150028517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scn.sap.com/wiki/download/attachments/467542157/2017-07-17_11-21-53.png?version=2&amp;modificationDate=1500285176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486150"/>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p>
    <w:p w:rsidR="00031992" w:rsidRPr="00031992" w:rsidRDefault="00031992" w:rsidP="00031992">
      <w:pPr>
        <w:numPr>
          <w:ilvl w:val="0"/>
          <w:numId w:val="2"/>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u w:val="single"/>
        </w:rPr>
        <w:t>FUL rule</w:t>
      </w:r>
      <w:r w:rsidRPr="00031992">
        <w:rPr>
          <w:rFonts w:ascii="Verdana" w:hAnsi="Verdana" w:cs="Segoe UI"/>
        </w:rPr>
        <w:t>: If the order has a full rule, the balance of the order is actually zero.</w:t>
      </w:r>
    </w:p>
    <w:p w:rsidR="00031992" w:rsidRPr="00031992" w:rsidRDefault="00031992" w:rsidP="00031992">
      <w:pPr>
        <w:numPr>
          <w:ilvl w:val="0"/>
          <w:numId w:val="2"/>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u w:val="single"/>
        </w:rPr>
        <w:t>PER rule</w:t>
      </w:r>
      <w:r w:rsidRPr="00031992">
        <w:rPr>
          <w:rFonts w:ascii="Verdana" w:hAnsi="Verdana" w:cs="Segoe UI"/>
        </w:rPr>
        <w:t>: if the order has a periodic rule the following scenarios can take happen:</w:t>
      </w:r>
    </w:p>
    <w:p w:rsidR="00031992" w:rsidRPr="00031992" w:rsidRDefault="00031992" w:rsidP="00031992">
      <w:pPr>
        <w:numPr>
          <w:ilvl w:val="0"/>
          <w:numId w:val="3"/>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Total balance of the order may be zero. </w:t>
      </w:r>
    </w:p>
    <w:p w:rsidR="00031992" w:rsidRPr="00031992" w:rsidRDefault="00031992" w:rsidP="00031992">
      <w:pPr>
        <w:numPr>
          <w:ilvl w:val="0"/>
          <w:numId w:val="3"/>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The balance of the order is zero </w:t>
      </w:r>
      <w:r w:rsidRPr="00031992">
        <w:rPr>
          <w:rStyle w:val="Strong"/>
          <w:rFonts w:ascii="Verdana" w:hAnsi="Verdana" w:cs="Segoe UI"/>
        </w:rPr>
        <w:t>in the settlement period</w:t>
      </w:r>
      <w:r w:rsidRPr="00031992">
        <w:rPr>
          <w:rFonts w:ascii="Verdana" w:hAnsi="Verdana" w:cs="Segoe UI"/>
        </w:rPr>
        <w:t>. For example, your current period is 07/2017 and you are trying to settle period 06/2017 where there is no balance.</w:t>
      </w:r>
    </w:p>
    <w:p w:rsidR="00031992" w:rsidRPr="00031992" w:rsidRDefault="00031992" w:rsidP="00031992">
      <w:pPr>
        <w:numPr>
          <w:ilvl w:val="0"/>
          <w:numId w:val="3"/>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The balance of the order is zero </w:t>
      </w:r>
      <w:r w:rsidRPr="00031992">
        <w:rPr>
          <w:rStyle w:val="Strong"/>
          <w:rFonts w:ascii="Verdana" w:hAnsi="Verdana" w:cs="Segoe UI"/>
        </w:rPr>
        <w:t>in the settlement period </w:t>
      </w:r>
      <w:r w:rsidRPr="00031992">
        <w:rPr>
          <w:rFonts w:ascii="Verdana" w:hAnsi="Verdana" w:cs="Segoe UI"/>
        </w:rPr>
        <w:t>but there is a remaining balance from </w:t>
      </w:r>
      <w:r w:rsidRPr="00031992">
        <w:rPr>
          <w:rFonts w:ascii="Verdana" w:hAnsi="Verdana" w:cs="Segoe UI"/>
          <w:u w:val="single"/>
        </w:rPr>
        <w:t>previous unsettled periods</w:t>
      </w:r>
      <w:r w:rsidRPr="00031992">
        <w:rPr>
          <w:rFonts w:ascii="Verdana" w:hAnsi="Verdana" w:cs="Segoe UI"/>
        </w:rPr>
        <w:t>, which prevents the order to be closed. This unsettled balance can be displayed via the execution of report COPCOBJ_REORGCHECK (find more detailed information in SAP note </w:t>
      </w:r>
      <w:hyperlink r:id="rId10" w:anchor="/notes/421710/E" w:history="1">
        <w:r w:rsidRPr="00031992">
          <w:rPr>
            <w:rStyle w:val="Hyperlink"/>
            <w:rFonts w:ascii="Verdana" w:hAnsi="Verdana"/>
            <w:color w:val="auto"/>
          </w:rPr>
          <w:t>421710</w:t>
        </w:r>
      </w:hyperlink>
      <w:r w:rsidRPr="00031992">
        <w:rPr>
          <w:rFonts w:ascii="Verdana" w:hAnsi="Verdana" w:cs="Segoe UI"/>
        </w:rPr>
        <w:t>). In this case, if current period was 07/2017 and you had a balance in 06/2017 and zero in 07/2017, you will obtain KD231 error when settling 07/2017 and the foreseen report would show the existing balance in 06/2017.</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xml:space="preserve">In case of FUL scenario, it is straightforward there is nothing to settle because the balance of the order is 0. </w:t>
      </w:r>
      <w:proofErr w:type="gramStart"/>
      <w:r w:rsidRPr="00031992">
        <w:rPr>
          <w:rFonts w:ascii="Verdana" w:hAnsi="Verdana" w:cs="Segoe UI"/>
          <w:sz w:val="22"/>
          <w:szCs w:val="22"/>
        </w:rPr>
        <w:t>However</w:t>
      </w:r>
      <w:proofErr w:type="gramEnd"/>
      <w:r w:rsidRPr="00031992">
        <w:rPr>
          <w:rFonts w:ascii="Verdana" w:hAnsi="Verdana" w:cs="Segoe UI"/>
          <w:sz w:val="22"/>
          <w:szCs w:val="22"/>
        </w:rPr>
        <w:t xml:space="preserve"> for PER scenario, there are two possible solutions (if there is an unsettled balance from </w:t>
      </w:r>
      <w:r w:rsidRPr="00031992">
        <w:rPr>
          <w:rFonts w:ascii="Verdana" w:hAnsi="Verdana" w:cs="Segoe UI"/>
          <w:sz w:val="22"/>
          <w:szCs w:val="22"/>
          <w:u w:val="single"/>
        </w:rPr>
        <w:t>previous periods</w:t>
      </w:r>
      <w:r w:rsidRPr="00031992">
        <w:rPr>
          <w:rFonts w:ascii="Verdana" w:hAnsi="Verdana" w:cs="Segoe UI"/>
          <w:sz w:val="22"/>
          <w:szCs w:val="22"/>
        </w:rPr>
        <w:t>) described the following SAP notes:</w:t>
      </w:r>
    </w:p>
    <w:p w:rsidR="00031992" w:rsidRPr="00031992" w:rsidRDefault="00031992" w:rsidP="00031992">
      <w:pPr>
        <w:numPr>
          <w:ilvl w:val="0"/>
          <w:numId w:val="4"/>
        </w:numPr>
        <w:shd w:val="clear" w:color="auto" w:fill="FFFFFF"/>
        <w:spacing w:before="100" w:beforeAutospacing="1" w:after="100" w:afterAutospacing="1" w:line="288" w:lineRule="atLeast"/>
        <w:ind w:left="0"/>
        <w:rPr>
          <w:rFonts w:ascii="Verdana" w:hAnsi="Verdana" w:cs="Segoe UI"/>
        </w:rPr>
      </w:pPr>
      <w:hyperlink r:id="rId11" w:anchor="/notes/140672/E" w:history="1">
        <w:r w:rsidRPr="00031992">
          <w:rPr>
            <w:rStyle w:val="Hyperlink"/>
            <w:rFonts w:ascii="Verdana" w:hAnsi="Verdana"/>
            <w:color w:val="auto"/>
          </w:rPr>
          <w:t>140672</w:t>
        </w:r>
      </w:hyperlink>
      <w:r w:rsidRPr="00031992">
        <w:rPr>
          <w:rFonts w:ascii="Verdana" w:hAnsi="Verdana" w:cs="Segoe UI"/>
        </w:rPr>
        <w:t> - Info: Settle/reverse costs from previous periods</w:t>
      </w:r>
    </w:p>
    <w:p w:rsidR="00031992" w:rsidRPr="00031992" w:rsidRDefault="00031992" w:rsidP="00031992">
      <w:pPr>
        <w:numPr>
          <w:ilvl w:val="0"/>
          <w:numId w:val="4"/>
        </w:numPr>
        <w:shd w:val="clear" w:color="auto" w:fill="FFFFFF"/>
        <w:spacing w:before="100" w:beforeAutospacing="1" w:after="100" w:afterAutospacing="1" w:line="288" w:lineRule="atLeast"/>
        <w:ind w:left="0"/>
        <w:rPr>
          <w:rFonts w:ascii="Verdana" w:hAnsi="Verdana" w:cs="Segoe UI"/>
        </w:rPr>
      </w:pPr>
      <w:hyperlink r:id="rId12" w:anchor="/notes/2397593/E" w:history="1">
        <w:r w:rsidRPr="00031992">
          <w:rPr>
            <w:rStyle w:val="Hyperlink"/>
            <w:rFonts w:ascii="Verdana" w:hAnsi="Verdana"/>
            <w:color w:val="auto"/>
          </w:rPr>
          <w:t>2397593</w:t>
        </w:r>
      </w:hyperlink>
      <w:r w:rsidRPr="00031992">
        <w:rPr>
          <w:rFonts w:ascii="Verdana" w:hAnsi="Verdana" w:cs="Segoe UI"/>
        </w:rPr>
        <w:t>  - How to settle costs from previous year (cross-year settlement)?</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proofErr w:type="gramStart"/>
      <w:r w:rsidRPr="00031992">
        <w:rPr>
          <w:rStyle w:val="Strong"/>
          <w:rFonts w:ascii="Verdana" w:hAnsi="Verdana" w:cs="Segoe UI"/>
          <w:sz w:val="22"/>
          <w:szCs w:val="22"/>
          <w:u w:val="single"/>
        </w:rPr>
        <w:t>Note</w:t>
      </w:r>
      <w:r w:rsidRPr="00031992">
        <w:rPr>
          <w:rStyle w:val="Strong"/>
          <w:rFonts w:ascii="Verdana" w:hAnsi="Verdana" w:cs="Segoe UI"/>
          <w:sz w:val="22"/>
          <w:szCs w:val="22"/>
        </w:rPr>
        <w:t> </w:t>
      </w:r>
      <w:r w:rsidRPr="00031992">
        <w:rPr>
          <w:rFonts w:ascii="Verdana" w:hAnsi="Verdana" w:cs="Segoe UI"/>
          <w:sz w:val="22"/>
          <w:szCs w:val="22"/>
        </w:rPr>
        <w:t>:</w:t>
      </w:r>
      <w:proofErr w:type="gramEnd"/>
      <w:r w:rsidRPr="00031992">
        <w:rPr>
          <w:rFonts w:ascii="Verdana" w:hAnsi="Verdana" w:cs="Segoe UI"/>
          <w:sz w:val="22"/>
          <w:szCs w:val="22"/>
        </w:rPr>
        <w:t xml:space="preserve"> To avoid this error with </w:t>
      </w:r>
      <w:r w:rsidRPr="00031992">
        <w:rPr>
          <w:rStyle w:val="Strong"/>
          <w:rFonts w:ascii="Verdana" w:hAnsi="Verdana" w:cs="Segoe UI"/>
          <w:sz w:val="22"/>
          <w:szCs w:val="22"/>
        </w:rPr>
        <w:t>new orders</w:t>
      </w:r>
      <w:r w:rsidRPr="00031992">
        <w:rPr>
          <w:rFonts w:ascii="Verdana" w:hAnsi="Verdana" w:cs="Segoe UI"/>
          <w:sz w:val="22"/>
          <w:szCs w:val="22"/>
        </w:rPr>
        <w:t>, it is highly recommended to use a </w:t>
      </w:r>
      <w:r w:rsidRPr="00031992">
        <w:rPr>
          <w:rStyle w:val="Strong"/>
          <w:rFonts w:ascii="Verdana" w:hAnsi="Verdana" w:cs="Segoe UI"/>
          <w:sz w:val="22"/>
          <w:szCs w:val="22"/>
        </w:rPr>
        <w:t>FUL rule towards a PER rule</w:t>
      </w:r>
      <w:r w:rsidRPr="00031992">
        <w:rPr>
          <w:rFonts w:ascii="Verdana" w:hAnsi="Verdana" w:cs="Segoe UI"/>
          <w:sz w:val="22"/>
          <w:szCs w:val="22"/>
        </w:rPr>
        <w:t> when using periodic scenario. If this is not suitable for your production scenario, when settling orders with PER rule, it is also recommended to use </w:t>
      </w:r>
      <w:r w:rsidRPr="00031992">
        <w:rPr>
          <w:rStyle w:val="Strong"/>
          <w:rFonts w:ascii="Verdana" w:hAnsi="Verdana" w:cs="Segoe UI"/>
          <w:sz w:val="22"/>
          <w:szCs w:val="22"/>
        </w:rPr>
        <w:t>full settlement processing type</w:t>
      </w:r>
      <w:r w:rsidRPr="00031992">
        <w:rPr>
          <w:rFonts w:ascii="Verdana" w:hAnsi="Verdana" w:cs="Segoe UI"/>
          <w:sz w:val="22"/>
          <w:szCs w:val="22"/>
        </w:rPr>
        <w:t> (option to choose at the beginning of the settlement transaction). If this option is selected, the system will return an error if there is unsettled balance from previous periods, so you can correct the relevant order/s, possibly by reversing the settlements of the current period and settling the previous period again.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KD216: No Settlement document exists</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When running the settlement application for a controlling object (KO88, CJ88...) error KD216 prompts saying there is no settlement document. This error happens in two scenarios:</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lastRenderedPageBreak/>
        <w:drawing>
          <wp:inline distT="0" distB="0" distL="0" distR="0">
            <wp:extent cx="6667500" cy="3209925"/>
            <wp:effectExtent l="0" t="0" r="0" b="9525"/>
            <wp:docPr id="7" name="Picture 7" descr="https://wiki.scn.sap.com/wiki/download/attachments/467542157/2018-01-09_14-23-57.png?version=1&amp;modificationDate=151560342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scn.sap.com/wiki/download/attachments/467542157/2018-01-09_14-23-57.png?version=1&amp;modificationDate=1515603423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209925"/>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numPr>
          <w:ilvl w:val="0"/>
          <w:numId w:val="5"/>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The sender was not yet settled. You are trying to reverse the settlement document of a posting period/fiscal year which does not exist.</w:t>
      </w:r>
    </w:p>
    <w:p w:rsidR="00031992" w:rsidRPr="00031992" w:rsidRDefault="00031992" w:rsidP="00031992">
      <w:pPr>
        <w:numPr>
          <w:ilvl w:val="0"/>
          <w:numId w:val="5"/>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The sender was completely reversed. You are trying to reverse the settlement document of a posting period/fiscal year, which has already been reversed.</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KD258: Final delivery not entered for the order. It is not technically completed.</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When settling an order for a specific period-fiscal year, KD258 error happens because the order has status DLV/TECO in a </w:t>
      </w:r>
      <w:r w:rsidRPr="00031992">
        <w:rPr>
          <w:rStyle w:val="Strong"/>
          <w:rFonts w:ascii="Verdana" w:hAnsi="Verdana" w:cs="Segoe UI"/>
          <w:sz w:val="22"/>
          <w:szCs w:val="22"/>
        </w:rPr>
        <w:t>period after the settlement period</w:t>
      </w:r>
      <w:r w:rsidRPr="00031992">
        <w:rPr>
          <w:rFonts w:ascii="Verdana" w:hAnsi="Verdana" w:cs="Segoe UI"/>
          <w:sz w:val="22"/>
          <w:szCs w:val="22"/>
        </w:rPr>
        <w:t xml:space="preserve">. For example, </w:t>
      </w:r>
      <w:proofErr w:type="spellStart"/>
      <w:proofErr w:type="gramStart"/>
      <w:r w:rsidRPr="00031992">
        <w:rPr>
          <w:rFonts w:ascii="Verdana" w:hAnsi="Verdana" w:cs="Segoe UI"/>
          <w:sz w:val="22"/>
          <w:szCs w:val="22"/>
        </w:rPr>
        <w:t>your</w:t>
      </w:r>
      <w:proofErr w:type="spellEnd"/>
      <w:proofErr w:type="gramEnd"/>
      <w:r w:rsidRPr="00031992">
        <w:rPr>
          <w:rFonts w:ascii="Verdana" w:hAnsi="Verdana" w:cs="Segoe UI"/>
          <w:sz w:val="22"/>
          <w:szCs w:val="22"/>
        </w:rPr>
        <w:t xml:space="preserve"> are settling 01/2018 &amp; the order has any of these two statuses active in period 02/2018.</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lastRenderedPageBreak/>
        <w:drawing>
          <wp:inline distT="0" distB="0" distL="0" distR="0">
            <wp:extent cx="6667500" cy="3295650"/>
            <wp:effectExtent l="0" t="0" r="0" b="0"/>
            <wp:docPr id="6" name="Picture 6" descr="https://wiki.scn.sap.com/wiki/download/attachments/467542157/KD258.png?version=1&amp;modificationDate=151913486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scn.sap.com/wiki/download/attachments/467542157/KD258.png?version=1&amp;modificationDate=1519134868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295650"/>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Actually, the order is completed, either Technically or because of final delivery. Therefore, the system expects to have any of the foreseen statuses active in the settlement period. These statuses are stored in AUFK-IDAT2 (TECO) and AFPO-LTRMI (DLV). A more detailed explanation about the logic to update these statuses can be found in SAP Note </w:t>
      </w:r>
      <w:hyperlink r:id="rId15" w:anchor="/notes/530563/E" w:history="1">
        <w:r w:rsidRPr="00031992">
          <w:rPr>
            <w:rStyle w:val="Hyperlink"/>
            <w:rFonts w:ascii="Verdana" w:hAnsi="Verdana"/>
            <w:color w:val="auto"/>
            <w:sz w:val="22"/>
            <w:szCs w:val="22"/>
          </w:rPr>
          <w:t>530563</w:t>
        </w:r>
      </w:hyperlink>
      <w:r w:rsidRPr="00031992">
        <w:rPr>
          <w:rFonts w:ascii="Verdana" w:hAnsi="Verdana" w:cs="Segoe UI"/>
          <w:sz w:val="22"/>
          <w:szCs w:val="22"/>
        </w:rPr>
        <w:t>.</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In this scenario, the order can only be settled </w:t>
      </w:r>
      <w:r w:rsidRPr="00031992">
        <w:rPr>
          <w:rStyle w:val="Strong"/>
          <w:rFonts w:ascii="Verdana" w:hAnsi="Verdana" w:cs="Segoe UI"/>
          <w:sz w:val="22"/>
          <w:szCs w:val="22"/>
        </w:rPr>
        <w:t>in a period where TECO/DLV status is active</w:t>
      </w:r>
      <w:r w:rsidRPr="00031992">
        <w:rPr>
          <w:rFonts w:ascii="Verdana" w:hAnsi="Verdana" w:cs="Segoe UI"/>
          <w:sz w:val="22"/>
          <w:szCs w:val="22"/>
        </w:rPr>
        <w:t>. As possible workaround, you can revoke the status of technical completion of the production order and post a GR with posting data in previous period (with the dates in the example above, period 01/2018) with quantity 0. Also, you should set the flag 'delivery completed'. As a result, the field AFPO-LTRMI will be filled with a date in previous period.</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KD285: Status DLV/TECO was reversed after settlement of period mmm/</w:t>
      </w:r>
      <w:proofErr w:type="spellStart"/>
      <w:r w:rsidRPr="00031992">
        <w:rPr>
          <w:rStyle w:val="Strong"/>
          <w:rFonts w:ascii="Verdana" w:hAnsi="Verdana" w:cs="Segoe UI"/>
          <w:b/>
          <w:bCs/>
          <w:spacing w:val="-2"/>
          <w:sz w:val="22"/>
          <w:szCs w:val="22"/>
        </w:rPr>
        <w:t>yyyy</w:t>
      </w:r>
      <w:proofErr w:type="spellEnd"/>
      <w:r w:rsidRPr="00031992">
        <w:rPr>
          <w:rStyle w:val="Strong"/>
          <w:rFonts w:ascii="Verdana" w:hAnsi="Verdana" w:cs="Segoe UI"/>
          <w:b/>
          <w:bCs/>
          <w:spacing w:val="-2"/>
          <w:sz w:val="22"/>
          <w:szCs w:val="22"/>
        </w:rPr>
        <w:t>.</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xml:space="preserve">When settling an order for a specific period-fiscal year, KD285 error happens because the status DLV/TECO has been reversed since last settlement. In other words, the last time the order was settled it had status DLV/TECO and, currently, </w:t>
      </w:r>
      <w:proofErr w:type="spellStart"/>
      <w:r w:rsidRPr="00031992">
        <w:rPr>
          <w:rFonts w:ascii="Verdana" w:hAnsi="Verdana" w:cs="Segoe UI"/>
          <w:sz w:val="22"/>
          <w:szCs w:val="22"/>
        </w:rPr>
        <w:t>non of</w:t>
      </w:r>
      <w:proofErr w:type="spellEnd"/>
      <w:r w:rsidRPr="00031992">
        <w:rPr>
          <w:rFonts w:ascii="Verdana" w:hAnsi="Verdana" w:cs="Segoe UI"/>
          <w:sz w:val="22"/>
          <w:szCs w:val="22"/>
        </w:rPr>
        <w:t xml:space="preserve"> the two are active for the order.</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lastRenderedPageBreak/>
        <w:drawing>
          <wp:inline distT="0" distB="0" distL="0" distR="0">
            <wp:extent cx="6667500" cy="2581275"/>
            <wp:effectExtent l="0" t="0" r="0" b="9525"/>
            <wp:docPr id="5" name="Picture 5" descr="https://wiki.scn.sap.com/wiki/download/attachments/467542157/kd285.png?version=1&amp;modificationDate=151670522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scn.sap.com/wiki/download/attachments/467542157/kd285.png?version=1&amp;modificationDate=1516705222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581275"/>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This status is reset as a result of new material movements posted after the settlement, which cause a balance in the order. To settle this new balance, please, reverse the previous settlement and settle the order again. Depending on your MM customizing or if you are using the ML, there may not be possible to reverse the settlement in the settlement period, so you should post it into current period.</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For example, you settled the order in period 003/2018 and current period is 004/2018. Either for your MM customizing, either because of using the Material Ledger with actual costing (after period-end closing, price control of previous period can be changed from S to V after the revaluation step, so prior and current period will differ), you cannot reverse the posting of 003.2018 into this same period. In such case reverse the settlement into current period as follows:</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lastRenderedPageBreak/>
        <w:drawing>
          <wp:inline distT="0" distB="0" distL="0" distR="0">
            <wp:extent cx="6667500" cy="3867150"/>
            <wp:effectExtent l="0" t="0" r="0" b="0"/>
            <wp:docPr id="4" name="Picture 4" descr="https://wiki.scn.sap.com/wiki/download/attachments/467542157/settlement_kd285.png?version=1&amp;modificationDate=151670607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scn.sap.com/wiki/download/attachments/467542157/settlement_kd285.png?version=1&amp;modificationDate=1516706070000&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867150"/>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KD527: Settlement document: The system issued the last document number</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When settling an order for a specific posing period-fiscal year, KD527 error happens because object CO_ABRECHN has reached the </w:t>
      </w:r>
      <w:r w:rsidRPr="00031992">
        <w:rPr>
          <w:rStyle w:val="Strong"/>
          <w:rFonts w:ascii="Verdana" w:hAnsi="Verdana" w:cs="Segoe UI"/>
          <w:sz w:val="22"/>
          <w:szCs w:val="22"/>
        </w:rPr>
        <w:t>highest number of the number range</w:t>
      </w:r>
      <w:r w:rsidRPr="00031992">
        <w:rPr>
          <w:rFonts w:ascii="Verdana" w:hAnsi="Verdana" w:cs="Segoe UI"/>
          <w:sz w:val="22"/>
          <w:szCs w:val="22"/>
        </w:rPr>
        <w:t xml:space="preserve">. Now, the system tries to start from the </w:t>
      </w:r>
      <w:proofErr w:type="spellStart"/>
      <w:r w:rsidRPr="00031992">
        <w:rPr>
          <w:rFonts w:ascii="Verdana" w:hAnsi="Verdana" w:cs="Segoe UI"/>
          <w:sz w:val="22"/>
          <w:szCs w:val="22"/>
        </w:rPr>
        <w:t>begining</w:t>
      </w:r>
      <w:proofErr w:type="spellEnd"/>
      <w:r w:rsidRPr="00031992">
        <w:rPr>
          <w:rFonts w:ascii="Verdana" w:hAnsi="Verdana" w:cs="Segoe UI"/>
          <w:sz w:val="22"/>
          <w:szCs w:val="22"/>
        </w:rPr>
        <w:t xml:space="preserve"> of the interval, which causes a </w:t>
      </w:r>
      <w:r w:rsidRPr="00031992">
        <w:rPr>
          <w:rStyle w:val="Strong"/>
          <w:rFonts w:ascii="Verdana" w:hAnsi="Verdana" w:cs="Segoe UI"/>
          <w:sz w:val="22"/>
          <w:szCs w:val="22"/>
        </w:rPr>
        <w:t>duplication</w:t>
      </w:r>
      <w:r w:rsidRPr="00031992">
        <w:rPr>
          <w:rFonts w:ascii="Verdana" w:hAnsi="Verdana" w:cs="Segoe UI"/>
          <w:sz w:val="22"/>
          <w:szCs w:val="22"/>
        </w:rPr>
        <w:t> of entries in table AUAK.</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drawing>
          <wp:inline distT="0" distB="0" distL="0" distR="0">
            <wp:extent cx="6667500" cy="2505075"/>
            <wp:effectExtent l="0" t="0" r="0" b="9525"/>
            <wp:docPr id="3" name="Picture 3" descr="https://wiki.scn.sap.com/wiki/download/attachments/467542157/2017-10-09_14-41-33.png?version=1&amp;modificationDate=150756131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scn.sap.com/wiki/download/attachments/467542157/2017-10-09_14-41-33.png?version=1&amp;modificationDate=1507561312000&amp;api=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505075"/>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In this scenario, there are two options (see SAP Note </w:t>
      </w:r>
      <w:hyperlink r:id="rId19" w:anchor="/notes/1870037/E" w:history="1">
        <w:r w:rsidRPr="00031992">
          <w:rPr>
            <w:rStyle w:val="Hyperlink"/>
            <w:rFonts w:ascii="Verdana" w:hAnsi="Verdana"/>
            <w:color w:val="auto"/>
            <w:sz w:val="22"/>
            <w:szCs w:val="22"/>
          </w:rPr>
          <w:t>1870037</w:t>
        </w:r>
      </w:hyperlink>
      <w:r w:rsidRPr="00031992">
        <w:rPr>
          <w:rFonts w:ascii="Verdana" w:hAnsi="Verdana" w:cs="Segoe UI"/>
          <w:sz w:val="22"/>
          <w:szCs w:val="22"/>
        </w:rPr>
        <w:t>) to solve this issue:</w:t>
      </w:r>
    </w:p>
    <w:p w:rsidR="00031992" w:rsidRPr="00031992" w:rsidRDefault="00031992" w:rsidP="00031992">
      <w:pPr>
        <w:numPr>
          <w:ilvl w:val="0"/>
          <w:numId w:val="6"/>
        </w:numPr>
        <w:shd w:val="clear" w:color="auto" w:fill="FFFFFF"/>
        <w:spacing w:before="100" w:beforeAutospacing="1" w:after="100" w:afterAutospacing="1" w:line="288" w:lineRule="atLeast"/>
        <w:ind w:left="0"/>
        <w:rPr>
          <w:rFonts w:ascii="Verdana" w:hAnsi="Verdana" w:cs="Segoe UI"/>
        </w:rPr>
      </w:pPr>
      <w:r w:rsidRPr="00031992">
        <w:rPr>
          <w:rStyle w:val="Strong"/>
          <w:rFonts w:ascii="Verdana" w:hAnsi="Verdana" w:cs="Segoe UI"/>
        </w:rPr>
        <w:lastRenderedPageBreak/>
        <w:t>Archive and delete</w:t>
      </w:r>
      <w:r w:rsidRPr="00031992">
        <w:rPr>
          <w:rFonts w:ascii="Verdana" w:hAnsi="Verdana" w:cs="Segoe UI"/>
        </w:rPr>
        <w:t> the existing settlement documents for which the settlement documents would be repeated.</w:t>
      </w:r>
    </w:p>
    <w:p w:rsidR="00031992" w:rsidRPr="00031992" w:rsidRDefault="00031992" w:rsidP="00031992">
      <w:pPr>
        <w:numPr>
          <w:ilvl w:val="0"/>
          <w:numId w:val="6"/>
        </w:numPr>
        <w:shd w:val="clear" w:color="auto" w:fill="FFFFFF"/>
        <w:spacing w:before="100" w:beforeAutospacing="1" w:after="100" w:afterAutospacing="1" w:line="288" w:lineRule="atLeast"/>
        <w:ind w:left="0"/>
        <w:rPr>
          <w:rFonts w:ascii="Verdana" w:hAnsi="Verdana" w:cs="Segoe UI"/>
        </w:rPr>
      </w:pPr>
      <w:r w:rsidRPr="00031992">
        <w:rPr>
          <w:rStyle w:val="Strong"/>
          <w:rFonts w:ascii="Verdana" w:hAnsi="Verdana" w:cs="Segoe UI"/>
        </w:rPr>
        <w:t>Extend the number range</w:t>
      </w:r>
      <w:r w:rsidRPr="00031992">
        <w:rPr>
          <w:rFonts w:ascii="Verdana" w:hAnsi="Verdana" w:cs="Segoe UI"/>
        </w:rPr>
        <w:t>. If this second option is chosen, please, extend the number range of CO_ABRECHN in transaction SNRO. If the object has </w:t>
      </w:r>
      <w:r w:rsidRPr="00031992">
        <w:rPr>
          <w:rStyle w:val="Strong"/>
          <w:rFonts w:ascii="Verdana" w:hAnsi="Verdana" w:cs="Segoe UI"/>
        </w:rPr>
        <w:t>main memory buffering</w:t>
      </w:r>
      <w:r w:rsidRPr="00031992">
        <w:rPr>
          <w:rFonts w:ascii="Verdana" w:hAnsi="Verdana" w:cs="Segoe UI"/>
        </w:rPr>
        <w:t xml:space="preserve">, </w:t>
      </w:r>
      <w:proofErr w:type="spellStart"/>
      <w:r w:rsidRPr="00031992">
        <w:rPr>
          <w:rFonts w:ascii="Verdana" w:hAnsi="Verdana" w:cs="Segoe UI"/>
        </w:rPr>
        <w:t>reseting</w:t>
      </w:r>
      <w:proofErr w:type="spellEnd"/>
      <w:r w:rsidRPr="00031992">
        <w:rPr>
          <w:rFonts w:ascii="Verdana" w:hAnsi="Verdana" w:cs="Segoe UI"/>
        </w:rPr>
        <w:t xml:space="preserve"> the buffers in </w:t>
      </w:r>
      <w:r w:rsidRPr="00031992">
        <w:rPr>
          <w:rFonts w:ascii="Verdana" w:hAnsi="Verdana" w:cs="Segoe UI"/>
          <w:u w:val="single"/>
        </w:rPr>
        <w:t>all the instances of the system</w:t>
      </w:r>
      <w:r w:rsidRPr="00031992">
        <w:rPr>
          <w:rFonts w:ascii="Verdana" w:hAnsi="Verdana" w:cs="Segoe UI"/>
        </w:rPr>
        <w:t> is also necessary. Otherwise, the system will put in the buffer numbers that will cause again a </w:t>
      </w:r>
      <w:r w:rsidRPr="00031992">
        <w:rPr>
          <w:rStyle w:val="Strong"/>
          <w:rFonts w:ascii="Verdana" w:hAnsi="Verdana" w:cs="Segoe UI"/>
        </w:rPr>
        <w:t>dump</w:t>
      </w:r>
      <w:r w:rsidRPr="00031992">
        <w:rPr>
          <w:rFonts w:ascii="Verdana" w:hAnsi="Verdana" w:cs="Segoe UI"/>
        </w:rPr>
        <w:t> because of duplicate entries. To do so, please, follow these steps (SAP Note </w:t>
      </w:r>
      <w:hyperlink r:id="rId20" w:anchor="/notes/741698/E" w:history="1">
        <w:r w:rsidRPr="00031992">
          <w:rPr>
            <w:rStyle w:val="Hyperlink"/>
            <w:rFonts w:ascii="Verdana" w:hAnsi="Verdana"/>
            <w:color w:val="auto"/>
          </w:rPr>
          <w:t>741698</w:t>
        </w:r>
      </w:hyperlink>
      <w:r w:rsidRPr="00031992">
        <w:rPr>
          <w:rFonts w:ascii="Verdana" w:hAnsi="Verdana" w:cs="Segoe UI"/>
        </w:rPr>
        <w:t>):</w:t>
      </w:r>
    </w:p>
    <w:p w:rsidR="00031992" w:rsidRPr="00031992" w:rsidRDefault="00031992" w:rsidP="00031992">
      <w:pPr>
        <w:pStyle w:val="NormalWeb"/>
        <w:shd w:val="clear" w:color="auto" w:fill="FFFFFF"/>
        <w:spacing w:before="150" w:beforeAutospacing="0" w:after="0" w:afterAutospacing="0" w:line="288" w:lineRule="atLeast"/>
        <w:ind w:left="450"/>
        <w:rPr>
          <w:rFonts w:ascii="Verdana" w:hAnsi="Verdana" w:cs="Segoe UI"/>
          <w:sz w:val="22"/>
          <w:szCs w:val="22"/>
        </w:rPr>
      </w:pPr>
      <w:r w:rsidRPr="00031992">
        <w:rPr>
          <w:rFonts w:ascii="Verdana" w:hAnsi="Verdana" w:cs="Segoe UI"/>
          <w:sz w:val="22"/>
          <w:szCs w:val="22"/>
        </w:rPr>
        <w:t>During main memory buffering, you do not need to reorganize using transaction SNRO. Instead, use transaction SM56 to reset the number range buffer:</w:t>
      </w:r>
    </w:p>
    <w:p w:rsidR="00031992" w:rsidRPr="00031992" w:rsidRDefault="00031992" w:rsidP="00031992">
      <w:pPr>
        <w:numPr>
          <w:ilvl w:val="0"/>
          <w:numId w:val="7"/>
        </w:numPr>
        <w:shd w:val="clear" w:color="auto" w:fill="FFFFFF"/>
        <w:spacing w:after="0" w:line="288" w:lineRule="atLeast"/>
        <w:ind w:left="0"/>
        <w:rPr>
          <w:rFonts w:ascii="Verdana" w:hAnsi="Verdana" w:cs="Segoe UI"/>
        </w:rPr>
      </w:pPr>
    </w:p>
    <w:p w:rsidR="00031992" w:rsidRPr="00031992" w:rsidRDefault="00031992" w:rsidP="00031992">
      <w:pPr>
        <w:numPr>
          <w:ilvl w:val="1"/>
          <w:numId w:val="7"/>
        </w:numPr>
        <w:shd w:val="clear" w:color="auto" w:fill="FFFFFF"/>
        <w:spacing w:after="0" w:line="288" w:lineRule="atLeast"/>
        <w:ind w:left="0"/>
        <w:rPr>
          <w:rFonts w:ascii="Verdana" w:hAnsi="Verdana" w:cs="Segoe UI"/>
        </w:rPr>
      </w:pPr>
    </w:p>
    <w:p w:rsidR="00031992" w:rsidRPr="00031992" w:rsidRDefault="00031992" w:rsidP="00031992">
      <w:pPr>
        <w:numPr>
          <w:ilvl w:val="2"/>
          <w:numId w:val="7"/>
        </w:numPr>
        <w:shd w:val="clear" w:color="auto" w:fill="FFFFFF"/>
        <w:spacing w:after="0" w:line="288" w:lineRule="atLeast"/>
        <w:ind w:left="0"/>
        <w:rPr>
          <w:rFonts w:ascii="Verdana" w:hAnsi="Verdana" w:cs="Segoe UI"/>
        </w:rPr>
      </w:pPr>
    </w:p>
    <w:p w:rsidR="00031992" w:rsidRPr="00031992" w:rsidRDefault="00031992" w:rsidP="00031992">
      <w:pPr>
        <w:numPr>
          <w:ilvl w:val="3"/>
          <w:numId w:val="7"/>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Call transaction SM56.</w:t>
      </w:r>
    </w:p>
    <w:p w:rsidR="00031992" w:rsidRPr="00031992" w:rsidRDefault="00031992" w:rsidP="00031992">
      <w:pPr>
        <w:numPr>
          <w:ilvl w:val="3"/>
          <w:numId w:val="7"/>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Choose the menu option "Number Range Buffer -&gt; Reset".</w:t>
      </w:r>
    </w:p>
    <w:p w:rsidR="00031992" w:rsidRPr="00031992" w:rsidRDefault="00031992" w:rsidP="00031992">
      <w:pPr>
        <w:pStyle w:val="NormalWeb"/>
        <w:shd w:val="clear" w:color="auto" w:fill="FFFFFF"/>
        <w:spacing w:before="150" w:beforeAutospacing="0" w:after="0" w:afterAutospacing="0" w:line="288" w:lineRule="atLeast"/>
        <w:ind w:left="900"/>
        <w:rPr>
          <w:rFonts w:ascii="Verdana" w:hAnsi="Verdana" w:cs="Segoe UI"/>
          <w:sz w:val="22"/>
          <w:szCs w:val="22"/>
        </w:rPr>
      </w:pPr>
      <w:r w:rsidRPr="00031992">
        <w:rPr>
          <w:rFonts w:ascii="Verdana" w:hAnsi="Verdana" w:cs="Segoe UI"/>
          <w:sz w:val="22"/>
          <w:szCs w:val="22"/>
        </w:rPr>
        <w:t>A dialog box in which you can enter all the information is displayed.</w:t>
      </w:r>
      <w:r w:rsidRPr="00031992">
        <w:rPr>
          <w:rFonts w:ascii="Verdana" w:hAnsi="Verdana" w:cs="Segoe UI"/>
          <w:sz w:val="22"/>
          <w:szCs w:val="22"/>
        </w:rPr>
        <w:br/>
        <w:t>Caution: The generic entry is blank, not '*'.</w:t>
      </w:r>
      <w:r w:rsidRPr="00031992">
        <w:rPr>
          <w:rFonts w:ascii="Verdana" w:hAnsi="Verdana" w:cs="Segoe UI"/>
          <w:sz w:val="22"/>
          <w:szCs w:val="22"/>
        </w:rPr>
        <w:br/>
        <w:t>You must also set the "Global Reset" indicator so that all instances are synchronized.</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KD529: Correct your material distribution rules.</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xml:space="preserve">When settling a product cost collector for a specific posting period-fiscal year, KD529 happens when the </w:t>
      </w:r>
      <w:proofErr w:type="spellStart"/>
      <w:r w:rsidRPr="00031992">
        <w:rPr>
          <w:rFonts w:ascii="Verdana" w:hAnsi="Verdana" w:cs="Segoe UI"/>
          <w:sz w:val="22"/>
          <w:szCs w:val="22"/>
        </w:rPr>
        <w:t>settement</w:t>
      </w:r>
      <w:proofErr w:type="spellEnd"/>
      <w:r w:rsidRPr="00031992">
        <w:rPr>
          <w:rFonts w:ascii="Verdana" w:hAnsi="Verdana" w:cs="Segoe UI"/>
          <w:sz w:val="22"/>
          <w:szCs w:val="22"/>
        </w:rPr>
        <w:t xml:space="preserve"> rule has more than one distribution rule to material:</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drawing>
          <wp:inline distT="0" distB="0" distL="0" distR="0">
            <wp:extent cx="6667500" cy="2695575"/>
            <wp:effectExtent l="0" t="0" r="0" b="9525"/>
            <wp:docPr id="2" name="Picture 2" descr="https://wiki.scn.sap.com/wiki/download/attachments/467542157/kd529.png?version=1&amp;modificationDate=152000877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ki.scn.sap.com/wiki/download/attachments/467542157/kd529.png?version=1&amp;modificationDate=1520008778000&amp;api=v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695575"/>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The settlement rule of a product cost collector can only have one distribution rule where, the receiver, </w:t>
      </w:r>
      <w:r w:rsidRPr="00031992">
        <w:rPr>
          <w:rStyle w:val="Strong"/>
          <w:rFonts w:ascii="Verdana" w:hAnsi="Verdana" w:cs="Segoe UI"/>
          <w:sz w:val="22"/>
          <w:szCs w:val="22"/>
        </w:rPr>
        <w:t>must be the produced material</w:t>
      </w:r>
      <w:r w:rsidRPr="00031992">
        <w:rPr>
          <w:rFonts w:ascii="Verdana" w:hAnsi="Verdana" w:cs="Segoe UI"/>
          <w:sz w:val="22"/>
          <w:szCs w:val="22"/>
        </w:rPr>
        <w:t>. In other words, unlike regular production orders, product cost collectors can </w:t>
      </w:r>
      <w:r w:rsidRPr="00031992">
        <w:rPr>
          <w:rFonts w:ascii="Verdana" w:hAnsi="Verdana" w:cs="Segoe UI"/>
          <w:sz w:val="22"/>
          <w:szCs w:val="22"/>
          <w:u w:val="single"/>
        </w:rPr>
        <w:t>only</w:t>
      </w:r>
      <w:r w:rsidRPr="00031992">
        <w:rPr>
          <w:rFonts w:ascii="Verdana" w:hAnsi="Verdana" w:cs="Segoe UI"/>
          <w:sz w:val="22"/>
          <w:szCs w:val="22"/>
        </w:rPr>
        <w:t> be settled to materials.</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xml:space="preserve">To solve this error, in general, you should remove the additional distribution rule/s from the settlement rule, leaving only the material as receiver of the settlement. If it is not possible to </w:t>
      </w:r>
      <w:r w:rsidRPr="00031992">
        <w:rPr>
          <w:rFonts w:ascii="Verdana" w:hAnsi="Verdana" w:cs="Segoe UI"/>
          <w:sz w:val="22"/>
          <w:szCs w:val="22"/>
        </w:rPr>
        <w:lastRenderedPageBreak/>
        <w:t>delete this extra distribution rule/s, you can set the extra distribution rule/s to 0% and the material rule to 100%.</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CK122: Invalid posting period (please check your entry)</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When settling a sender, the settlement period can be different than current period in FI but there is a prerequisite: </w:t>
      </w:r>
      <w:r w:rsidRPr="00031992">
        <w:rPr>
          <w:rStyle w:val="Strong"/>
          <w:rFonts w:ascii="Verdana" w:hAnsi="Verdana" w:cs="Segoe UI"/>
          <w:sz w:val="22"/>
          <w:szCs w:val="22"/>
        </w:rPr>
        <w:t>the posting period has to be after the settlement period</w:t>
      </w:r>
      <w:r w:rsidRPr="00031992">
        <w:rPr>
          <w:rFonts w:ascii="Verdana" w:hAnsi="Verdana" w:cs="Segoe UI"/>
          <w:sz w:val="22"/>
          <w:szCs w:val="22"/>
        </w:rPr>
        <w:t> and the settlement period and posting period have to be in the </w:t>
      </w:r>
      <w:r w:rsidRPr="00031992">
        <w:rPr>
          <w:rStyle w:val="Strong"/>
          <w:rFonts w:ascii="Verdana" w:hAnsi="Verdana" w:cs="Segoe UI"/>
          <w:sz w:val="22"/>
          <w:szCs w:val="22"/>
        </w:rPr>
        <w:t>same</w:t>
      </w:r>
      <w:r w:rsidRPr="00031992">
        <w:rPr>
          <w:rFonts w:ascii="Verdana" w:hAnsi="Verdana" w:cs="Segoe UI"/>
          <w:sz w:val="22"/>
          <w:szCs w:val="22"/>
        </w:rPr>
        <w:t> fiscal year, which must be the current one. This means that a cross-year settlement is </w:t>
      </w:r>
      <w:r w:rsidRPr="00031992">
        <w:rPr>
          <w:rStyle w:val="Strong"/>
          <w:rFonts w:ascii="Verdana" w:hAnsi="Verdana" w:cs="Segoe UI"/>
          <w:sz w:val="22"/>
          <w:szCs w:val="22"/>
        </w:rPr>
        <w:t>not</w:t>
      </w:r>
      <w:r w:rsidRPr="00031992">
        <w:rPr>
          <w:rFonts w:ascii="Verdana" w:hAnsi="Verdana" w:cs="Segoe UI"/>
          <w:sz w:val="22"/>
          <w:szCs w:val="22"/>
        </w:rPr>
        <w:t> possible in the standard product delivered by SAP.</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Regarding this error there are two possible approaches to solve it:</w:t>
      </w:r>
    </w:p>
    <w:p w:rsidR="00031992" w:rsidRPr="00031992" w:rsidRDefault="00031992" w:rsidP="00031992">
      <w:pPr>
        <w:numPr>
          <w:ilvl w:val="0"/>
          <w:numId w:val="8"/>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Without a modification: See KBA </w:t>
      </w:r>
      <w:hyperlink r:id="rId22" w:anchor="/notes/2165419/E" w:history="1">
        <w:r w:rsidRPr="00031992">
          <w:rPr>
            <w:rStyle w:val="Hyperlink"/>
            <w:rFonts w:ascii="Verdana" w:hAnsi="Verdana"/>
            <w:color w:val="auto"/>
          </w:rPr>
          <w:t>2165419</w:t>
        </w:r>
      </w:hyperlink>
      <w:r w:rsidRPr="00031992">
        <w:rPr>
          <w:rFonts w:ascii="Verdana" w:hAnsi="Verdana" w:cs="Segoe UI"/>
        </w:rPr>
        <w:t> - Error CK122 happens in T-code: CO88/KO88 </w:t>
      </w:r>
    </w:p>
    <w:p w:rsidR="00031992" w:rsidRPr="00031992" w:rsidRDefault="00031992" w:rsidP="00031992">
      <w:pPr>
        <w:numPr>
          <w:ilvl w:val="0"/>
          <w:numId w:val="8"/>
        </w:numPr>
        <w:shd w:val="clear" w:color="auto" w:fill="FFFFFF"/>
        <w:spacing w:before="100" w:beforeAutospacing="1" w:after="100" w:afterAutospacing="1" w:line="288" w:lineRule="atLeast"/>
        <w:ind w:left="0"/>
        <w:rPr>
          <w:rFonts w:ascii="Verdana" w:hAnsi="Verdana" w:cs="Segoe UI"/>
        </w:rPr>
      </w:pPr>
      <w:r w:rsidRPr="00031992">
        <w:rPr>
          <w:rFonts w:ascii="Verdana" w:hAnsi="Verdana" w:cs="Segoe UI"/>
        </w:rPr>
        <w:t>With a modification: See KBA </w:t>
      </w:r>
      <w:hyperlink r:id="rId23" w:anchor="/notes/2397593/E" w:history="1">
        <w:r w:rsidRPr="00031992">
          <w:rPr>
            <w:rStyle w:val="Hyperlink"/>
            <w:rFonts w:ascii="Verdana" w:hAnsi="Verdana"/>
            <w:color w:val="auto"/>
          </w:rPr>
          <w:t>2397593</w:t>
        </w:r>
      </w:hyperlink>
      <w:r w:rsidRPr="00031992">
        <w:rPr>
          <w:rFonts w:ascii="Verdana" w:hAnsi="Verdana" w:cs="Segoe UI"/>
        </w:rPr>
        <w:t> - How to settle costs from previous year (cross-year settlement)? If you choose this option, please consider all the constraints suggested on it, as it is not suitable for all the scenarios, for example, when settling fixed assets.</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w:t>
      </w:r>
    </w:p>
    <w:p w:rsidR="00031992" w:rsidRPr="00031992" w:rsidRDefault="00031992" w:rsidP="00031992">
      <w:pPr>
        <w:pStyle w:val="Heading1"/>
        <w:shd w:val="clear" w:color="auto" w:fill="FFFFFF"/>
        <w:spacing w:before="0" w:beforeAutospacing="0" w:after="0" w:afterAutospacing="0"/>
        <w:rPr>
          <w:rFonts w:ascii="Verdana" w:hAnsi="Verdana" w:cs="Segoe UI"/>
          <w:b w:val="0"/>
          <w:bCs w:val="0"/>
          <w:spacing w:val="-2"/>
          <w:sz w:val="22"/>
          <w:szCs w:val="22"/>
        </w:rPr>
      </w:pPr>
      <w:r w:rsidRPr="00031992">
        <w:rPr>
          <w:rStyle w:val="Strong"/>
          <w:rFonts w:ascii="Verdana" w:hAnsi="Verdana" w:cs="Segoe UI"/>
          <w:b/>
          <w:bCs/>
          <w:spacing w:val="-2"/>
          <w:sz w:val="22"/>
          <w:szCs w:val="22"/>
        </w:rPr>
        <w:t>CK426: Valuation type not set for material XXXX</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 xml:space="preserve">This error happens because, at the time of the </w:t>
      </w:r>
      <w:proofErr w:type="gramStart"/>
      <w:r w:rsidRPr="00031992">
        <w:rPr>
          <w:rFonts w:ascii="Verdana" w:hAnsi="Verdana" w:cs="Segoe UI"/>
          <w:sz w:val="22"/>
          <w:szCs w:val="22"/>
        </w:rPr>
        <w:t>settlement,  no</w:t>
      </w:r>
      <w:proofErr w:type="gramEnd"/>
      <w:r w:rsidRPr="00031992">
        <w:rPr>
          <w:rFonts w:ascii="Verdana" w:hAnsi="Verdana" w:cs="Segoe UI"/>
          <w:sz w:val="22"/>
          <w:szCs w:val="22"/>
        </w:rPr>
        <w:t xml:space="preserve"> valuation segment type exists for the material. This segment is created automatically by the system at the time of the delivery.</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noProof/>
          <w:sz w:val="22"/>
          <w:szCs w:val="22"/>
        </w:rPr>
        <w:drawing>
          <wp:inline distT="0" distB="0" distL="0" distR="0">
            <wp:extent cx="6667500" cy="3238500"/>
            <wp:effectExtent l="0" t="0" r="0" b="0"/>
            <wp:docPr id="1" name="Picture 1" descr="https://wiki.scn.sap.com/wiki/download/attachments/467542157/2017-06-29_11-56-58.png?version=1&amp;modificationDate=149873149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ki.scn.sap.com/wiki/download/attachments/467542157/2017-06-29_11-56-58.png?version=1&amp;modificationDate=1498731493000&amp;api=v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During settlement the system would be trying to post costs to a material which does not exist. Also, the order settlement contains no information on the valuation type which is essential for the settlement.</w:t>
      </w:r>
    </w:p>
    <w:p w:rsidR="00031992" w:rsidRPr="00031992" w:rsidRDefault="00031992" w:rsidP="00031992">
      <w:pPr>
        <w:pStyle w:val="NormalWeb"/>
        <w:shd w:val="clear" w:color="auto" w:fill="FFFFFF"/>
        <w:spacing w:before="150" w:beforeAutospacing="0" w:after="0" w:afterAutospacing="0" w:line="288" w:lineRule="atLeast"/>
        <w:rPr>
          <w:rFonts w:ascii="Verdana" w:hAnsi="Verdana" w:cs="Segoe UI"/>
          <w:sz w:val="22"/>
          <w:szCs w:val="22"/>
        </w:rPr>
      </w:pPr>
      <w:r w:rsidRPr="00031992">
        <w:rPr>
          <w:rFonts w:ascii="Verdana" w:hAnsi="Verdana" w:cs="Segoe UI"/>
          <w:sz w:val="22"/>
          <w:szCs w:val="22"/>
        </w:rPr>
        <w:t>SAP note </w:t>
      </w:r>
      <w:hyperlink r:id="rId25" w:anchor="/notes/150605/E" w:history="1">
        <w:r w:rsidRPr="00031992">
          <w:rPr>
            <w:rStyle w:val="Hyperlink"/>
            <w:rFonts w:ascii="Verdana" w:hAnsi="Verdana"/>
            <w:color w:val="auto"/>
            <w:sz w:val="22"/>
            <w:szCs w:val="22"/>
          </w:rPr>
          <w:t>150605</w:t>
        </w:r>
      </w:hyperlink>
      <w:r w:rsidRPr="00031992">
        <w:rPr>
          <w:rFonts w:ascii="Verdana" w:hAnsi="Verdana" w:cs="Segoe UI"/>
          <w:sz w:val="22"/>
          <w:szCs w:val="22"/>
        </w:rPr>
        <w:t> explains the possible solutions to this error.</w:t>
      </w:r>
    </w:p>
    <w:p w:rsidR="00031992" w:rsidRPr="00031992" w:rsidRDefault="00031992" w:rsidP="00031992">
      <w:pPr>
        <w:shd w:val="clear" w:color="auto" w:fill="FFFFFF"/>
        <w:spacing w:after="0" w:line="240" w:lineRule="auto"/>
        <w:outlineLvl w:val="0"/>
        <w:rPr>
          <w:rFonts w:ascii="Verdana" w:eastAsia="Times New Roman" w:hAnsi="Verdana" w:cs="Segoe UI"/>
          <w:spacing w:val="-2"/>
          <w:kern w:val="36"/>
          <w:lang w:bidi="te-IN"/>
        </w:rPr>
      </w:pPr>
    </w:p>
    <w:p w:rsidR="00031992" w:rsidRPr="00031992" w:rsidRDefault="00031992">
      <w:pPr>
        <w:rPr>
          <w:rFonts w:ascii="Verdana" w:hAnsi="Verdana"/>
        </w:rPr>
      </w:pPr>
    </w:p>
    <w:sectPr w:rsidR="00031992" w:rsidRPr="00031992"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6F23"/>
    <w:multiLevelType w:val="multilevel"/>
    <w:tmpl w:val="A366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52EA8"/>
    <w:multiLevelType w:val="multilevel"/>
    <w:tmpl w:val="62D0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D78FB"/>
    <w:multiLevelType w:val="multilevel"/>
    <w:tmpl w:val="F794A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448DC"/>
    <w:multiLevelType w:val="multilevel"/>
    <w:tmpl w:val="A652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828BD"/>
    <w:multiLevelType w:val="multilevel"/>
    <w:tmpl w:val="3ACA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620C9"/>
    <w:multiLevelType w:val="multilevel"/>
    <w:tmpl w:val="FAE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51D73"/>
    <w:multiLevelType w:val="multilevel"/>
    <w:tmpl w:val="0B9C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B764E"/>
    <w:multiLevelType w:val="multilevel"/>
    <w:tmpl w:val="A4B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92"/>
    <w:rsid w:val="00031992"/>
    <w:rsid w:val="00084FFD"/>
    <w:rsid w:val="001501BE"/>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261D"/>
  <w15:chartTrackingRefBased/>
  <w15:docId w15:val="{958B311C-AF9D-47AE-8CBA-04F3BE02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1992"/>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992"/>
    <w:rPr>
      <w:rFonts w:ascii="Times New Roman" w:eastAsia="Times New Roman" w:hAnsi="Times New Roman" w:cs="Times New Roman"/>
      <w:b/>
      <w:bCs/>
      <w:kern w:val="36"/>
      <w:sz w:val="48"/>
      <w:szCs w:val="48"/>
      <w:lang w:bidi="te-IN"/>
    </w:rPr>
  </w:style>
  <w:style w:type="character" w:styleId="Hyperlink">
    <w:name w:val="Hyperlink"/>
    <w:basedOn w:val="DefaultParagraphFont"/>
    <w:uiPriority w:val="99"/>
    <w:semiHidden/>
    <w:unhideWhenUsed/>
    <w:rsid w:val="00031992"/>
    <w:rPr>
      <w:color w:val="0000FF"/>
      <w:u w:val="single"/>
    </w:rPr>
  </w:style>
  <w:style w:type="character" w:styleId="Strong">
    <w:name w:val="Strong"/>
    <w:basedOn w:val="DefaultParagraphFont"/>
    <w:uiPriority w:val="22"/>
    <w:qFormat/>
    <w:rsid w:val="00031992"/>
    <w:rPr>
      <w:b/>
      <w:bCs/>
    </w:rPr>
  </w:style>
  <w:style w:type="paragraph" w:styleId="NormalWeb">
    <w:name w:val="Normal (Web)"/>
    <w:basedOn w:val="Normal"/>
    <w:uiPriority w:val="99"/>
    <w:semiHidden/>
    <w:unhideWhenUsed/>
    <w:rsid w:val="00031992"/>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03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9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6336">
      <w:bodyDiv w:val="1"/>
      <w:marLeft w:val="0"/>
      <w:marRight w:val="0"/>
      <w:marTop w:val="0"/>
      <w:marBottom w:val="0"/>
      <w:divBdr>
        <w:top w:val="none" w:sz="0" w:space="0" w:color="auto"/>
        <w:left w:val="none" w:sz="0" w:space="0" w:color="auto"/>
        <w:bottom w:val="none" w:sz="0" w:space="0" w:color="auto"/>
        <w:right w:val="none" w:sz="0" w:space="0" w:color="auto"/>
      </w:divBdr>
    </w:div>
    <w:div w:id="1560896802">
      <w:bodyDiv w:val="1"/>
      <w:marLeft w:val="0"/>
      <w:marRight w:val="0"/>
      <w:marTop w:val="0"/>
      <w:marBottom w:val="0"/>
      <w:divBdr>
        <w:top w:val="none" w:sz="0" w:space="0" w:color="auto"/>
        <w:left w:val="none" w:sz="0" w:space="0" w:color="auto"/>
        <w:bottom w:val="none" w:sz="0" w:space="0" w:color="auto"/>
        <w:right w:val="none" w:sz="0" w:space="0" w:color="auto"/>
      </w:divBdr>
      <w:divsChild>
        <w:div w:id="707805132">
          <w:marLeft w:val="0"/>
          <w:marRight w:val="0"/>
          <w:marTop w:val="0"/>
          <w:marBottom w:val="0"/>
          <w:divBdr>
            <w:top w:val="none" w:sz="0" w:space="0" w:color="auto"/>
            <w:left w:val="none" w:sz="0" w:space="0" w:color="auto"/>
            <w:bottom w:val="single" w:sz="48" w:space="0" w:color="F0AB00"/>
            <w:right w:val="none" w:sz="0" w:space="0" w:color="auto"/>
          </w:divBdr>
        </w:div>
        <w:div w:id="191500949">
          <w:marLeft w:val="0"/>
          <w:marRight w:val="0"/>
          <w:marTop w:val="0"/>
          <w:marBottom w:val="0"/>
          <w:divBdr>
            <w:top w:val="none" w:sz="0" w:space="0" w:color="auto"/>
            <w:left w:val="none" w:sz="0" w:space="0" w:color="auto"/>
            <w:bottom w:val="single" w:sz="48" w:space="0" w:color="F0AB00"/>
            <w:right w:val="none" w:sz="0" w:space="0" w:color="auto"/>
          </w:divBdr>
        </w:div>
        <w:div w:id="639963361">
          <w:marLeft w:val="0"/>
          <w:marRight w:val="0"/>
          <w:marTop w:val="0"/>
          <w:marBottom w:val="0"/>
          <w:divBdr>
            <w:top w:val="none" w:sz="0" w:space="0" w:color="auto"/>
            <w:left w:val="none" w:sz="0" w:space="0" w:color="auto"/>
            <w:bottom w:val="single" w:sz="48" w:space="0" w:color="F0AB00"/>
            <w:right w:val="none" w:sz="0" w:space="0" w:color="auto"/>
          </w:divBdr>
        </w:div>
        <w:div w:id="647590364">
          <w:marLeft w:val="0"/>
          <w:marRight w:val="0"/>
          <w:marTop w:val="0"/>
          <w:marBottom w:val="0"/>
          <w:divBdr>
            <w:top w:val="none" w:sz="0" w:space="0" w:color="auto"/>
            <w:left w:val="none" w:sz="0" w:space="0" w:color="auto"/>
            <w:bottom w:val="single" w:sz="48" w:space="0" w:color="F0AB00"/>
            <w:right w:val="none" w:sz="0" w:space="0" w:color="auto"/>
          </w:divBdr>
        </w:div>
        <w:div w:id="922957012">
          <w:marLeft w:val="0"/>
          <w:marRight w:val="0"/>
          <w:marTop w:val="0"/>
          <w:marBottom w:val="0"/>
          <w:divBdr>
            <w:top w:val="none" w:sz="0" w:space="0" w:color="auto"/>
            <w:left w:val="none" w:sz="0" w:space="0" w:color="auto"/>
            <w:bottom w:val="single" w:sz="48" w:space="0" w:color="F0AB00"/>
            <w:right w:val="none" w:sz="0" w:space="0" w:color="auto"/>
          </w:divBdr>
        </w:div>
        <w:div w:id="1207528555">
          <w:marLeft w:val="0"/>
          <w:marRight w:val="0"/>
          <w:marTop w:val="0"/>
          <w:marBottom w:val="0"/>
          <w:divBdr>
            <w:top w:val="none" w:sz="0" w:space="0" w:color="auto"/>
            <w:left w:val="none" w:sz="0" w:space="0" w:color="auto"/>
            <w:bottom w:val="single" w:sz="48" w:space="0" w:color="F0AB00"/>
            <w:right w:val="none" w:sz="0" w:space="0" w:color="auto"/>
          </w:divBdr>
        </w:div>
        <w:div w:id="524952203">
          <w:marLeft w:val="0"/>
          <w:marRight w:val="0"/>
          <w:marTop w:val="0"/>
          <w:marBottom w:val="0"/>
          <w:divBdr>
            <w:top w:val="none" w:sz="0" w:space="0" w:color="auto"/>
            <w:left w:val="none" w:sz="0" w:space="0" w:color="auto"/>
            <w:bottom w:val="single" w:sz="48" w:space="0" w:color="F0AB00"/>
            <w:right w:val="none" w:sz="0" w:space="0" w:color="auto"/>
          </w:divBdr>
        </w:div>
        <w:div w:id="877468454">
          <w:marLeft w:val="0"/>
          <w:marRight w:val="0"/>
          <w:marTop w:val="0"/>
          <w:marBottom w:val="0"/>
          <w:divBdr>
            <w:top w:val="none" w:sz="0" w:space="0" w:color="auto"/>
            <w:left w:val="none" w:sz="0" w:space="0" w:color="auto"/>
            <w:bottom w:val="single" w:sz="48" w:space="0" w:color="F0AB00"/>
            <w:right w:val="none" w:sz="0" w:space="0" w:color="auto"/>
          </w:divBdr>
        </w:div>
        <w:div w:id="952320023">
          <w:marLeft w:val="0"/>
          <w:marRight w:val="0"/>
          <w:marTop w:val="0"/>
          <w:marBottom w:val="0"/>
          <w:divBdr>
            <w:top w:val="none" w:sz="0" w:space="0" w:color="auto"/>
            <w:left w:val="none" w:sz="0" w:space="0" w:color="auto"/>
            <w:bottom w:val="single" w:sz="48" w:space="0" w:color="F0AB00"/>
            <w:right w:val="none" w:sz="0" w:space="0" w:color="auto"/>
          </w:divBdr>
        </w:div>
      </w:divsChild>
    </w:div>
    <w:div w:id="20701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cn.sap.com/wiki/x/TYjHG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launchpad.support.sap.com/" TargetMode="External"/><Relationship Id="rId17" Type="http://schemas.openxmlformats.org/officeDocument/2006/relationships/image" Target="media/image7.png"/><Relationship Id="rId25" Type="http://schemas.openxmlformats.org/officeDocument/2006/relationships/hyperlink" Target="https://launchpad.support.sap.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aunchpad.support.sa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aunchpad.support.sap.com/" TargetMode="External"/><Relationship Id="rId24" Type="http://schemas.openxmlformats.org/officeDocument/2006/relationships/image" Target="media/image10.png"/><Relationship Id="rId5" Type="http://schemas.openxmlformats.org/officeDocument/2006/relationships/hyperlink" Target="https://wiki.scn.sap.com/wiki/display/ERPFI/Errors+during+settlement" TargetMode="External"/><Relationship Id="rId15" Type="http://schemas.openxmlformats.org/officeDocument/2006/relationships/hyperlink" Target="https://launchpad.support.sap.com/" TargetMode="External"/><Relationship Id="rId23" Type="http://schemas.openxmlformats.org/officeDocument/2006/relationships/hyperlink" Target="https://launchpad.support.sap.com/" TargetMode="External"/><Relationship Id="rId10" Type="http://schemas.openxmlformats.org/officeDocument/2006/relationships/hyperlink" Target="https://launchpad.support.sap.com/" TargetMode="External"/><Relationship Id="rId19" Type="http://schemas.openxmlformats.org/officeDocument/2006/relationships/hyperlink" Target="https://launchpad.support.sa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launchpad.support.sap.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1</cp:revision>
  <dcterms:created xsi:type="dcterms:W3CDTF">2020-01-23T17:17:00Z</dcterms:created>
  <dcterms:modified xsi:type="dcterms:W3CDTF">2020-01-23T17:23:00Z</dcterms:modified>
</cp:coreProperties>
</file>