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eorgia" w:hAnsi="Georgia"/>
          <w:b/>
          <w:i w:val="0"/>
          <w:color w:val="1A3A5C"/>
          <w:sz w:val="40"/>
        </w:rPr>
        <w:t>MARIANA OZAETA</w:t>
      </w:r>
    </w:p>
    <w:p>
      <w:pPr>
        <w:spacing w:before="20" w:after="0" w:line="240" w:lineRule="auto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>PROGRAM EVALUATION   ·   MIXED-METHODS RESEARCH   ·   DATA ANALYTICS</w:t>
      </w:r>
    </w:p>
    <w:p>
      <w:pPr>
        <w:spacing w:before="60" w:after="80" w:line="240" w:lineRule="auto"/>
        <w:jc w:val="center"/>
      </w:pPr>
      <w:r>
        <w:rPr>
          <w:rFonts w:ascii="Calibri" w:hAnsi="Calibri"/>
          <w:b w:val="0"/>
          <w:i w:val="0"/>
          <w:color w:val="555555"/>
          <w:sz w:val="17"/>
        </w:rPr>
        <w:t>Phoenix, AZ   ·   Mozaeta12@gmail.com   ·   github.com/t00th-blip</w:t>
      </w:r>
    </w:p>
    <w:p>
      <w:pPr>
        <w:spacing w:before="140" w:after="0" w:line="240" w:lineRule="auto"/>
      </w:pPr>
      <w:r>
        <w:rPr>
          <w:rFonts w:ascii="Calibri" w:hAnsi="Calibri"/>
          <w:b w:val="0"/>
          <w:i w:val="0"/>
          <w:color w:val="1C1C1C"/>
          <w:sz w:val="18"/>
        </w:rPr>
        <w:t>Mixed-methods program evaluator completing an M.S. in Program Evaluation and Data Analytics (Arizona State University, December 2026). Carries evaluations end to end — logic model and IRB protocol through bilingual instrument design, quantitative and qualitative analysis, and findings translated into recommendations for boards and executive decision-makers. Equity-centered, participatory design is core training, not an overlay.</w:t>
      </w:r>
    </w:p>
    <w:p>
      <w:pPr>
        <w:spacing w:before="160" w:after="60" w:line="240" w:lineRule="auto"/>
      </w:pPr>
      <w:r>
        <w:rPr>
          <w:rFonts w:ascii="Georgia" w:hAnsi="Georgia"/>
          <w:b/>
          <w:i w:val="0"/>
          <w:color w:val="1A3A5C"/>
          <w:sz w:val="18"/>
        </w:rPr>
        <w:t>EDUCATION</w:t>
      </w:r>
    </w:p>
    <w:p>
      <w:pPr>
        <w:tabs>
          <w:tab w:pos="10368" w:val="right"/>
        </w:tabs>
        <w:spacing w:before="70" w:after="0" w:line="240" w:lineRule="auto"/>
      </w:pPr>
      <w:r>
        <w:rPr>
          <w:rFonts w:ascii="Calibri" w:hAnsi="Calibri"/>
          <w:b/>
          <w:i w:val="0"/>
          <w:color w:val="1C1C1C"/>
          <w:sz w:val="18"/>
        </w:rPr>
        <w:t>M.S., Program Evaluation and Data Analytics</w:t>
      </w:r>
      <w:r>
        <w:tab/>
      </w:r>
      <w:r>
        <w:rPr>
          <w:rFonts w:ascii="Calibri" w:hAnsi="Calibri"/>
          <w:b w:val="0"/>
          <w:i w:val="0"/>
          <w:color w:val="555555"/>
          <w:sz w:val="17"/>
        </w:rPr>
        <w:t>Expected December 2026</w:t>
      </w:r>
    </w:p>
    <w:p>
      <w:pPr>
        <w:spacing w:before="0" w:after="30" w:line="240" w:lineRule="auto"/>
      </w:pPr>
      <w:r>
        <w:rPr>
          <w:rFonts w:ascii="Calibri" w:hAnsi="Calibri"/>
          <w:b w:val="0"/>
          <w:i/>
          <w:color w:val="555555"/>
          <w:sz w:val="17"/>
        </w:rPr>
        <w:t>Arizona State University — Watts College of Public Service and Community Solutions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Coursework: Program Evaluation · Research Design &amp; Advanced Regression · Multiple Regression · Data Programming in R · Data Wrangling · Community Analytics</w:t>
      </w:r>
    </w:p>
    <w:p>
      <w:pPr>
        <w:tabs>
          <w:tab w:pos="10368" w:val="right"/>
        </w:tabs>
        <w:spacing w:before="70" w:after="0" w:line="240" w:lineRule="auto"/>
      </w:pPr>
      <w:r>
        <w:rPr>
          <w:rFonts w:ascii="Calibri" w:hAnsi="Calibri"/>
          <w:b/>
          <w:i w:val="0"/>
          <w:color w:val="1C1C1C"/>
          <w:sz w:val="18"/>
        </w:rPr>
        <w:t>B.A., Social and Cultural Analysis</w:t>
      </w:r>
      <w:r>
        <w:tab/>
      </w:r>
      <w:r>
        <w:rPr>
          <w:rFonts w:ascii="Calibri" w:hAnsi="Calibri"/>
          <w:b w:val="0"/>
          <w:i w:val="0"/>
          <w:color w:val="555555"/>
          <w:sz w:val="17"/>
        </w:rPr>
        <w:t>2024</w:t>
      </w:r>
    </w:p>
    <w:p>
      <w:pPr>
        <w:spacing w:before="0" w:after="30" w:line="240" w:lineRule="auto"/>
      </w:pPr>
      <w:r>
        <w:rPr>
          <w:rFonts w:ascii="Calibri" w:hAnsi="Calibri"/>
          <w:b w:val="0"/>
          <w:i/>
          <w:color w:val="555555"/>
          <w:sz w:val="17"/>
        </w:rPr>
        <w:t>Arizona State University — concentration in Women and Gender Studies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Structural analysis of how institutions include and exclude — gender, access, and the social determinants behind unequal outcomes.</w:t>
      </w:r>
    </w:p>
    <w:p>
      <w:pPr>
        <w:spacing w:before="160" w:after="60" w:line="240" w:lineRule="auto"/>
      </w:pPr>
      <w:r>
        <w:rPr>
          <w:rFonts w:ascii="Georgia" w:hAnsi="Georgia"/>
          <w:b/>
          <w:i w:val="0"/>
          <w:color w:val="1A3A5C"/>
          <w:sz w:val="18"/>
        </w:rPr>
        <w:t>PROGRAM EVALUATION &amp; APPLIED RESEARCH EXPERIENCE</w:t>
      </w:r>
    </w:p>
    <w:p>
      <w:pPr>
        <w:tabs>
          <w:tab w:pos="10368" w:val="right"/>
        </w:tabs>
        <w:spacing w:before="70" w:after="0" w:line="240" w:lineRule="auto"/>
      </w:pPr>
      <w:r>
        <w:rPr>
          <w:rFonts w:ascii="Calibri" w:hAnsi="Calibri"/>
          <w:b/>
          <w:i w:val="0"/>
          <w:color w:val="1C1C1C"/>
          <w:sz w:val="18"/>
        </w:rPr>
        <w:t>Graduate Research Fellow</w:t>
      </w:r>
      <w:r>
        <w:tab/>
      </w:r>
      <w:r>
        <w:rPr>
          <w:rFonts w:ascii="Calibri" w:hAnsi="Calibri"/>
          <w:b w:val="0"/>
          <w:i w:val="0"/>
          <w:color w:val="555555"/>
          <w:sz w:val="17"/>
        </w:rPr>
        <w:t>May 2025 – Aug 2025</w:t>
      </w:r>
    </w:p>
    <w:p>
      <w:pPr>
        <w:spacing w:before="0" w:after="30" w:line="240" w:lineRule="auto"/>
      </w:pPr>
      <w:r>
        <w:rPr>
          <w:rFonts w:ascii="Calibri" w:hAnsi="Calibri"/>
          <w:b w:val="0"/>
          <w:i/>
          <w:color w:val="555555"/>
          <w:sz w:val="17"/>
        </w:rPr>
        <w:t>AmeriCorps — Arizona State University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Sole evaluator on an independent, IRB-approved mixed-methods needs and access-barriers evaluation among immigrant men age 55+ — why faith-based community spaces are trusted and used while public libraries and recreation centers are not.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Developed the logic model, evaluation plan, IRB protocol, and every data collection instrument, then fielded 26 surveys and 16 semi-structured interviews — all instruments built in both English and Spanish.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Led all data collection, cleaning, and quality assurance; analyzed quantitative data in R (descriptive and correlation statistics) and coded interview transcripts, isolating awareness, language, privacy, and trust as the operative barriers.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Built the design on data-equity and community-based principles, including a participatory visual-mapping activity in which participants marked the places they trusted, avoided, or could not reach rather than selecting from predetermined categories.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Translated findings into a policy brief with actionable outreach and facility-design recommendations; presented to the ASU Watts College board and reported to AmeriCorps and community partners. Brief selected for publication in an edited volume.</w:t>
      </w:r>
    </w:p>
    <w:p>
      <w:pPr>
        <w:tabs>
          <w:tab w:pos="10368" w:val="right"/>
        </w:tabs>
        <w:spacing w:before="70" w:after="0" w:line="240" w:lineRule="auto"/>
      </w:pPr>
      <w:r>
        <w:rPr>
          <w:rFonts w:ascii="Calibri" w:hAnsi="Calibri"/>
          <w:b/>
          <w:i w:val="0"/>
          <w:color w:val="1C1C1C"/>
          <w:sz w:val="18"/>
        </w:rPr>
        <w:t>Service-Demand Evaluation — Public Affairs Capstone</w:t>
      </w:r>
      <w:r>
        <w:tab/>
      </w:r>
      <w:r>
        <w:rPr>
          <w:rFonts w:ascii="Calibri" w:hAnsi="Calibri"/>
          <w:b w:val="0"/>
          <w:i w:val="0"/>
          <w:color w:val="555555"/>
          <w:sz w:val="17"/>
        </w:rPr>
        <w:t>Fall 2026 (in progress)</w:t>
      </w:r>
    </w:p>
    <w:p>
      <w:pPr>
        <w:spacing w:before="0" w:after="30" w:line="240" w:lineRule="auto"/>
      </w:pPr>
      <w:r>
        <w:rPr>
          <w:rFonts w:ascii="Calibri" w:hAnsi="Calibri"/>
          <w:b w:val="0"/>
          <w:i/>
          <w:color w:val="555555"/>
          <w:sz w:val="17"/>
        </w:rPr>
        <w:t>Lake Havasu City Police Department · Arizona State University (PAF 509)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Primary evaluator for a municipal client, grounded in a systematic review of workload-staffing literature and U.S. Department of Justice COPS Office guidance.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Obtained 44 months of record-level administrative data through a public records request and built an extraction, cleaning, and validation pipeline in R, converting 44 monthly PDF files into one analysis-ready dataset.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Analyzing monthly demand for seasonal structure and benchmarking against peer municipalities; deliverable is a client-facing report with costed three-to-five year and ten-year options, visualized for decision-makers without technical background.</w:t>
      </w:r>
    </w:p>
    <w:p>
      <w:pPr>
        <w:spacing w:before="160" w:after="60" w:line="240" w:lineRule="auto"/>
      </w:pPr>
      <w:r>
        <w:rPr>
          <w:rFonts w:ascii="Georgia" w:hAnsi="Georgia"/>
          <w:b/>
          <w:i w:val="0"/>
          <w:color w:val="1A3A5C"/>
          <w:sz w:val="18"/>
        </w:rPr>
        <w:t>PROFESSIONAL EXPERIENCE</w:t>
      </w:r>
    </w:p>
    <w:p>
      <w:pPr>
        <w:tabs>
          <w:tab w:pos="10368" w:val="right"/>
        </w:tabs>
        <w:spacing w:before="70" w:after="0" w:line="240" w:lineRule="auto"/>
      </w:pPr>
      <w:r>
        <w:rPr>
          <w:rFonts w:ascii="Calibri" w:hAnsi="Calibri"/>
          <w:b/>
          <w:i w:val="0"/>
          <w:color w:val="1C1C1C"/>
          <w:sz w:val="18"/>
        </w:rPr>
        <w:t>Development Assistant</w:t>
      </w:r>
      <w:r>
        <w:tab/>
      </w:r>
      <w:r>
        <w:rPr>
          <w:rFonts w:ascii="Calibri" w:hAnsi="Calibri"/>
          <w:b w:val="0"/>
          <w:i w:val="0"/>
          <w:color w:val="555555"/>
          <w:sz w:val="17"/>
        </w:rPr>
        <w:t>Feb 2026 – Present</w:t>
      </w:r>
    </w:p>
    <w:p>
      <w:pPr>
        <w:spacing w:before="0" w:after="30" w:line="240" w:lineRule="auto"/>
      </w:pPr>
      <w:r>
        <w:rPr>
          <w:rFonts w:ascii="Calibri" w:hAnsi="Calibri"/>
          <w:b w:val="0"/>
          <w:i/>
          <w:color w:val="555555"/>
          <w:sz w:val="17"/>
        </w:rPr>
        <w:t>Art Heals Arizona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Audit and maintain 100+ donor and in-kind contribution records, correcting duplicate and incomplete entries so output reporting reconciles reliably across departments.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Standardized in-kind documentation and valuation procedures and trained 15+ volunteers to apply them consistently — internal capacity-building that holds data quality steady as people turn over.</w:t>
      </w:r>
    </w:p>
    <w:p>
      <w:pPr>
        <w:tabs>
          <w:tab w:pos="245" w:val="left"/>
        </w:tabs>
        <w:spacing w:before="0" w:after="30" w:line="240" w:lineRule="auto"/>
        <w:ind w:left="245" w:hanging="245"/>
      </w:pPr>
      <w:r>
        <w:rPr>
          <w:rFonts w:ascii="Calibri" w:hAnsi="Calibri"/>
          <w:b/>
          <w:i w:val="0"/>
          <w:color w:val="1A3A5C"/>
          <w:sz w:val="18"/>
        </w:rPr>
        <w:t>•</w:t>
      </w:r>
      <w:r>
        <w:tab/>
      </w:r>
      <w:r>
        <w:rPr>
          <w:rFonts w:ascii="Calibri" w:hAnsi="Calibri"/>
          <w:b w:val="0"/>
          <w:i w:val="0"/>
          <w:color w:val="1C1C1C"/>
          <w:sz w:val="18"/>
        </w:rPr>
        <w:t>Manage concurrent workstreams: prospect research, in-kind documentation, volunteer training, and reporting used in leadership and board updates.</w:t>
      </w:r>
    </w:p>
    <w:p>
      <w:pPr>
        <w:spacing w:before="160" w:after="60" w:line="240" w:lineRule="auto"/>
      </w:pPr>
      <w:r>
        <w:rPr>
          <w:rFonts w:ascii="Georgia" w:hAnsi="Georgia"/>
          <w:b/>
          <w:i w:val="0"/>
          <w:color w:val="1A3A5C"/>
          <w:sz w:val="18"/>
        </w:rPr>
        <w:t>SKILLS &amp; CREDENTIALS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3A5C"/>
          <w:sz w:val="18"/>
        </w:rPr>
        <w:t xml:space="preserve">Evaluation:  </w:t>
      </w:r>
      <w:r>
        <w:rPr>
          <w:rFonts w:ascii="Calibri" w:hAnsi="Calibri"/>
          <w:b w:val="0"/>
          <w:i w:val="0"/>
          <w:color w:val="1C1C1C"/>
          <w:sz w:val="18"/>
        </w:rPr>
        <w:t>Mixed-Methods Design · Needs, Process, and Outcome Evaluation · Logic Models &amp; Evaluation Plans · Bilingual Instrument Development · Semi-Structured Interviewing · Qualitative Coding · Participatory &amp; Community-Based Methods · Data Equity Principles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3A5C"/>
          <w:sz w:val="18"/>
        </w:rPr>
        <w:t xml:space="preserve">Analysis &amp; Reporting:  </w:t>
      </w:r>
      <w:r>
        <w:rPr>
          <w:rFonts w:ascii="Calibri" w:hAnsi="Calibri"/>
          <w:b w:val="0"/>
          <w:i w:val="0"/>
          <w:color w:val="1C1C1C"/>
          <w:sz w:val="18"/>
        </w:rPr>
        <w:t>Quantitative and Qualitative Analysis · Multiple Regression · Descriptive &amp; Correlation Statistics · Data Cleaning &amp; Quality Assurance · Data Visualization · Technical Writing · Executive and Board-Level Deliverables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3A5C"/>
          <w:sz w:val="18"/>
        </w:rPr>
        <w:t xml:space="preserve">Tools:  </w:t>
      </w:r>
      <w:r>
        <w:rPr>
          <w:rFonts w:ascii="Calibri" w:hAnsi="Calibri"/>
          <w:b w:val="0"/>
          <w:i w:val="0"/>
          <w:color w:val="1C1C1C"/>
          <w:sz w:val="18"/>
        </w:rPr>
        <w:t>R · RStudio · R Markdown · Power BI · Tableau · SurveyMonkey · Microsoft Office (Word, Excel with PivotTables and lookups, PowerPoint, Outlook, Teams) · SharePoint · Salesforce · Zoom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3A5C"/>
          <w:sz w:val="18"/>
        </w:rPr>
        <w:t xml:space="preserve">Portfolio:  </w:t>
      </w:r>
      <w:r>
        <w:rPr>
          <w:rFonts w:ascii="Calibri" w:hAnsi="Calibri"/>
          <w:b w:val="0"/>
          <w:i w:val="0"/>
          <w:color w:val="1C1C1C"/>
          <w:sz w:val="18"/>
        </w:rPr>
        <w:t>github.com/t00th-blip — R package development · reproducible R Markdown reporting · data-driven document generation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1A3A5C"/>
          <w:sz w:val="18"/>
        </w:rPr>
        <w:t xml:space="preserve">Credential &amp; Languages:  </w:t>
      </w:r>
      <w:r>
        <w:rPr>
          <w:rFonts w:ascii="Calibri" w:hAnsi="Calibri"/>
          <w:b w:val="0"/>
          <w:i w:val="0"/>
          <w:color w:val="1C1C1C"/>
          <w:sz w:val="18"/>
        </w:rPr>
        <w:t>IRB Human Subjects Research certification · Bilingual English/Spanish, including Spanish-language instrument development and interviewing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