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Georgia" w:cs="Georgia" w:eastAsia="Georgia" w:hAnsi="Georgia"/>
          <w:b/>
          <w:bCs/>
          <w:color w:val="3D1591"/>
          <w:sz w:val="72"/>
          <w:szCs w:val="72"/>
        </w:rPr>
        <w:t xml:space="preserve">Guild </w:t>
      </w:r>
      <w:r>
        <w:rPr>
          <w:rFonts w:ascii="Arial" w:cs="Arial" w:eastAsia="Arial" w:hAnsi="Arial"/>
          <w:color w:val="8756C0"/>
          <w:sz w:val="42"/>
          <w:szCs w:val="42"/>
        </w:rPr>
        <w:t xml:space="preserve">●</w:t>
      </w:r>
      <w:r>
        <w:rPr>
          <w:rFonts w:ascii="Arial" w:cs="Arial" w:eastAsia="Arial" w:hAnsi="Arial"/>
          <w:color w:val="867EF6"/>
          <w:sz w:val="42"/>
          <w:szCs w:val="42"/>
        </w:rPr>
        <w:t xml:space="preserve">●</w:t>
      </w:r>
      <w:r>
        <w:rPr>
          <w:rFonts w:ascii="Arial" w:cs="Arial" w:eastAsia="Arial" w:hAnsi="Arial"/>
          <w:color w:val="CCCDFB"/>
          <w:sz w:val="42"/>
          <w:szCs w:val="42"/>
        </w:rPr>
        <w:t xml:space="preserve">●</w:t>
      </w:r>
    </w:p>
    <w:p>
      <w:pPr>
        <w:spacing w:after="40"/>
        <w:jc w:val="center"/>
      </w:pPr>
      <w:r>
        <w:rPr>
          <w:rFonts w:ascii="Georgia" w:cs="Georgia" w:eastAsia="Georgia" w:hAnsi="Georgia"/>
          <w:b/>
          <w:bCs/>
          <w:color w:val="3D1591"/>
          <w:sz w:val="28"/>
          <w:szCs w:val="28"/>
        </w:rPr>
        <w:t xml:space="preserve">Translation Team</w:t>
      </w:r>
    </w:p>
    <w:p>
      <w:pPr>
        <w:spacing w:after="0"/>
        <w:jc w:val="center"/>
      </w:pPr>
      <w:r>
        <w:rPr>
          <w:rFonts w:ascii="Calibri" w:cs="Calibri" w:eastAsia="Calibri" w:hAnsi="Calibri"/>
          <w:color w:val="6B6680"/>
          <w:spacing w:val="60"/>
          <w:sz w:val="16"/>
          <w:szCs w:val="16"/>
        </w:rPr>
        <w:t xml:space="preserve">Professional Club</w:t>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[Copyright holder to be confirmed].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Editors: [names]. Contributors: [names]. Reviewed by: [names and titles].</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 [Confirm after review, and follow the publisher’s and the university’s policy.]</w:t>
      </w:r>
    </w:p>
    <w:p>
      <w:pPr>
        <w:spacing w:after="140" w:line="270"/>
      </w:pPr>
      <w:r>
        <w:rPr>
          <w:rFonts w:ascii="Calibri" w:cs="Calibri" w:eastAsia="Calibri" w:hAnsi="Calibri"/>
          <w:color w:val="6B6680"/>
          <w:sz w:val="18"/>
          <w:szCs w:val="18"/>
        </w:rPr>
        <w:t xml:space="preserve">ISBN: [if required].</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[To be completed by the Translation Team: thanks to the supervisor, to Dr Amin, and to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 [To be replaced with an authentic news text and its source.]</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 [To be replaced with an authentic news text and its source.]</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 Checklist 4, based on Dr Abdullah’s framework, will be completed by the Translation Team.</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Based on Dr Abdullah’s framework</w:t>
      </w:r>
    </w:p>
    <w:p>
      <w:pPr>
        <w:spacing w:after="120" w:line="290"/>
      </w:pPr>
      <w:r>
        <w:rPr>
          <w:rFonts w:ascii="Calibri" w:cs="Calibri" w:eastAsia="Calibri" w:hAnsi="Calibri"/>
        </w:rPr>
        <w:t xml:space="preserve">[To be completed by the Translation Team, based on Dr Abdullah’s PhD research and framework.]</w:t>
      </w:r>
    </w:p>
    <w:p>
      <w:pPr>
        <w:pStyle w:val="Heading2"/>
        <w:pageBreakBefore/>
      </w:pPr>
      <w:r>
        <w:t xml:space="preserve">Checklist 5: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An Arabic version of the handbook is planned for future use (Translation Team, n.d.). [The team to confirm the audiences and materials planned for future editions. Suggestions: authentic news texts for practice; examples from the 180, 182 and 386 course texts; a completed checklist based on Dr Abdullah’s framework; subtitling exercises with film clips; and chapters on interpreting, and on legal and medical translation, for more advanced readers.]</w:t>
      </w: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 [Page to be confirmed; secondary sources give vol. 1, p. 76.]</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2"/>
        </w:numPr>
        <w:spacing w:after="70" w:line="290"/>
      </w:pPr>
      <w:r>
        <w:rPr>
          <w:rFonts w:ascii="Calibri" w:cs="Calibri" w:eastAsia="Calibri" w:hAnsi="Calibri"/>
        </w:rPr>
        <w:t xml:space="preserve">[Full reference for the 180 textbook.]</w:t>
      </w:r>
    </w:p>
    <w:p>
      <w:pPr>
        <w:pStyle w:val="ListParagraph"/>
        <w:numPr>
          <w:ilvl w:val="0"/>
          <w:numId w:val="2"/>
        </w:numPr>
        <w:spacing w:after="70" w:line="290"/>
      </w:pPr>
      <w:r>
        <w:rPr>
          <w:rFonts w:ascii="Calibri" w:cs="Calibri" w:eastAsia="Calibri" w:hAnsi="Calibri"/>
        </w:rPr>
        <w:t xml:space="preserve">[Full reference for the 182 course book.]</w:t>
      </w:r>
    </w:p>
    <w:p>
      <w:pPr>
        <w:pStyle w:val="ListParagraph"/>
        <w:numPr>
          <w:ilvl w:val="0"/>
          <w:numId w:val="2"/>
        </w:numPr>
        <w:spacing w:after="70" w:line="290"/>
      </w:pPr>
      <w:r>
        <w:rPr>
          <w:rFonts w:ascii="Calibri" w:cs="Calibri" w:eastAsia="Calibri" w:hAnsi="Calibri"/>
        </w:rPr>
        <w:t xml:space="preserve">[Full reference for the 386 course texts, if they are used.]</w:t>
      </w:r>
    </w:p>
    <w:p>
      <w:pPr>
        <w:pStyle w:val="ListParagraph"/>
        <w:numPr>
          <w:ilvl w:val="0"/>
          <w:numId w:val="2"/>
        </w:numPr>
        <w:spacing w:after="7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 The professor’s notes attribute this text to Dr Yusuf; please confirm.]</w:t>
      </w:r>
    </w:p>
    <w:p>
      <w:pPr>
        <w:spacing w:after="40"/>
      </w:pPr>
    </w:p>
    <w:p>
      <w:pPr>
        <w:pageBreakBefore/>
        <w:spacing w:after="200" w:before="2400"/>
        <w:jc w:val="center"/>
      </w:pPr>
      <w:r>
        <w:rPr>
          <w:rFonts w:ascii="Georgia" w:cs="Georgia" w:eastAsia="Georgia" w:hAnsi="Georgia"/>
          <w:i/>
          <w:iCs/>
          <w:color w:val="1F1A2E"/>
          <w:sz w:val="30"/>
          <w:szCs w:val="30"/>
        </w:rPr>
        <w:t xml:space="preserve">“Translate the meaning, not the words.”</w:t>
      </w:r>
    </w:p>
    <w:p>
      <w:pPr>
        <w:bidi/>
        <w:spacing w:after="600"/>
        <w:jc w:val="center"/>
      </w:pPr>
      <w:r>
        <w:rPr>
          <w:rFonts w:ascii="Arial" w:cs="Arial" w:hAnsi="Arial"/>
          <w:color w:val="6B6680"/>
          <w:sz w:val="28"/>
          <w:szCs w:val="28"/>
          <w:rtl/>
        </w:rPr>
        <w:t xml:space="preserve">ترجِمِ المعنى، لا الكلمات.</w:t>
      </w:r>
    </w:p>
    <w:p>
      <w:pPr>
        <w:spacing w:after="1600" w:line="300"/>
        <w:jc w:val="center"/>
      </w:pPr>
      <w:r>
        <w:rPr>
          <w:rFonts w:ascii="Calibri" w:cs="Calibri" w:eastAsia="Calibri" w:hAnsi="Calibri"/>
          <w:color w:val="6B6680"/>
          <w:sz w:val="20"/>
          <w:szCs w:val="20"/>
        </w:rPr>
        <w:t xml:space="preserve">A step-by-step guide for beginners who want to translate between English and Arabic: from preparing a text to checking and explaining the result, with examples in both languages, exercises and answers.</w:t>
      </w:r>
    </w:p>
    <w:p>
      <w:pPr>
        <w:spacing w:after="0" w:before="0"/>
        <w:jc w:val="center"/>
      </w:pPr>
      <w:r>
        <w:rPr>
          <w:rFonts w:ascii="Georgia" w:cs="Georgia" w:eastAsia="Georgia" w:hAnsi="Georgia"/>
          <w:b/>
          <w:bCs/>
          <w:color w:val="3D1591"/>
          <w:sz w:val="48"/>
          <w:szCs w:val="48"/>
        </w:rPr>
        <w:t xml:space="preserve">Guild </w:t>
      </w:r>
      <w:r>
        <w:rPr>
          <w:rFonts w:ascii="Arial" w:cs="Arial" w:eastAsia="Arial" w:hAnsi="Arial"/>
          <w:color w:val="8756C0"/>
          <w:sz w:val="28"/>
          <w:szCs w:val="28"/>
        </w:rPr>
        <w:t xml:space="preserve">●</w:t>
      </w:r>
      <w:r>
        <w:rPr>
          <w:rFonts w:ascii="Arial" w:cs="Arial" w:eastAsia="Arial" w:hAnsi="Arial"/>
          <w:color w:val="867EF6"/>
          <w:sz w:val="28"/>
          <w:szCs w:val="28"/>
        </w:rPr>
        <w:t xml:space="preserve">●</w:t>
      </w:r>
      <w:r>
        <w:rPr>
          <w:rFonts w:ascii="Arial" w:cs="Arial" w:eastAsia="Arial" w:hAnsi="Arial"/>
          <w:color w:val="CCCDFB"/>
          <w:sz w:val="28"/>
          <w:szCs w:val="28"/>
        </w:rPr>
        <w:t xml:space="preserve">●</w:t>
      </w:r>
    </w:p>
    <w:p>
      <w:pPr>
        <w:spacing w:after="40"/>
        <w:jc w:val="center"/>
      </w:pPr>
      <w:r>
        <w:rPr>
          <w:rFonts w:ascii="Georgia" w:cs="Georgia" w:eastAsia="Georgia" w:hAnsi="Georgia"/>
          <w:b/>
          <w:bCs/>
          <w:color w:val="3D1591"/>
          <w:sz w:val="18"/>
          <w:szCs w:val="18"/>
        </w:rPr>
        <w:t xml:space="preserve">Translation Team</w:t>
      </w:r>
    </w:p>
    <w:p>
      <w:pPr>
        <w:spacing w:after="0"/>
        <w:jc w:val="center"/>
      </w:pPr>
      <w:r>
        <w:rPr>
          <w:rFonts w:ascii="Calibri" w:cs="Calibri" w:eastAsia="Calibri" w:hAnsi="Calibri"/>
          <w:color w:val="6B6680"/>
          <w:spacing w:val="60"/>
          <w:sz w:val="10"/>
          <w:szCs w:val="10"/>
        </w:rPr>
        <w:t xml:space="preserve">Professional Club</w:t>
      </w: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2026-09-24T18:54:47.262Z</dcterms:created>
  <dcterms:modified xsi:type="dcterms:W3CDTF">2026-09-24T18:54:47.262Z</dcterms:modified>
</cp:coreProperties>
</file>

<file path=docProps/custom.xml><?xml version="1.0" encoding="utf-8"?>
<Properties xmlns="http://schemas.openxmlformats.org/officeDocument/2006/custom-properties" xmlns:vt="http://schemas.openxmlformats.org/officeDocument/2006/docPropsVTypes"/>
</file>