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and the audiovisual translation notes):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96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110 terms, 38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3).</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9); form and meaning (Chapter 4); types of meaning (Chapter 5); context, homonymy and polysemy (Chapter 6).</w:t>
      </w:r>
    </w:p>
    <w:p>
      <w:pPr>
        <w:pStyle w:val="ListParagraph"/>
        <w:numPr>
          <w:ilvl w:val="0"/>
          <w:numId w:val="2"/>
        </w:numPr>
        <w:spacing w:after="80" w:line="290"/>
      </w:pPr>
      <w:r>
        <w:rPr>
          <w:rFonts w:ascii="Arial" w:cs="Arial" w:eastAsia="Arial" w:hAnsi="Arial"/>
        </w:rPr>
        <w:t xml:space="preserve">Collocation (Chapter 7); idioms and proverbs (Chapter 8); literal and free translation (Chapter 10); metaphoric translation (Chapter 11).</w:t>
      </w:r>
    </w:p>
    <w:p>
      <w:pPr>
        <w:pStyle w:val="ListParagraph"/>
        <w:numPr>
          <w:ilvl w:val="0"/>
          <w:numId w:val="2"/>
        </w:numPr>
        <w:spacing w:after="80" w:line="290"/>
      </w:pPr>
      <w:r>
        <w:rPr>
          <w:rFonts w:ascii="Arial" w:cs="Arial" w:eastAsia="Arial" w:hAnsi="Arial"/>
        </w:rPr>
        <w:t xml:space="preserve">Translation strategies (Chapter 13); cultural approximation (Chapter 14); descriptive translation (Chapter 15); lexical creation (Chapter 16).</w:t>
      </w:r>
    </w:p>
    <w:p>
      <w:pPr>
        <w:pStyle w:val="ListParagraph"/>
        <w:numPr>
          <w:ilvl w:val="0"/>
          <w:numId w:val="2"/>
        </w:numPr>
        <w:spacing w:after="80" w:line="290"/>
      </w:pPr>
      <w:r>
        <w:rPr>
          <w:rFonts w:ascii="Arial" w:cs="Arial" w:eastAsia="Arial" w:hAnsi="Arial"/>
        </w:rPr>
        <w:t xml:space="preserve">Text analysis, including the KUNA example (Chapter 17);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7, 8 and 14).</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the 182 course book, the 386 texts and the Analysis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cited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w:t>
            </w:r>
            <w:r>
              <w:rPr>
                <w:rFonts w:ascii="Arial" w:cs="Arial" w:eastAsia="Arial" w:hAnsi="Arial"/>
                <w:sz w:val="19"/>
                <w:szCs w:val="19"/>
              </w:rPr>
              <w:t xml:space="preserve"> (attributed to Dr Yusuf)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text and author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verified (no source found);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38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publisher corrected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now cited with its page (p. 11)</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original sources of the draft’s own examples and of its numbered exercises (16, 24–29). If any come from a published book (for example the 180 or 182 textbooks), that book must be credited.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Credit the team members’ contributions, including Masooma’s terminology chapter, which is no longer named in the handbook.</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that the statement on AI assistance meets the university’s and the publisher’s rules.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not received: Dr Abdullah’s framework, the text </w:t>
      </w:r>
      <w:r>
        <w:rPr>
          <w:rFonts w:ascii="Arial" w:cs="Arial" w:hAnsi="Arial"/>
          <w:szCs w:val="23"/>
          <w:rtl/>
        </w:rPr>
        <w:t xml:space="preserve">الترجمة: ماهيتها</w:t>
      </w:r>
      <w:r>
        <w:rPr>
          <w:rFonts w:ascii="Arial" w:cs="Arial" w:eastAsia="Arial" w:hAnsi="Arial"/>
          <w:color w:val="C00000"/>
        </w:rPr>
        <w:t xml:space="preserve"> and its author, the 180, 182, 386 and Analysis texts, and Loulwah’s notes.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2026-09-25T19:54:48.957Z</dcterms:created>
  <dcterms:modified xsi:type="dcterms:W3CDTF">2026-09-25T19:54:48.957Z</dcterms:modified>
</cp:coreProperties>
</file>

<file path=docProps/custom.xml><?xml version="1.0" encoding="utf-8"?>
<Properties xmlns="http://schemas.openxmlformats.org/officeDocument/2006/custom-properties" xmlns:vt="http://schemas.openxmlformats.org/officeDocument/2006/docPropsVTypes"/>
</file>