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Summary</w:t>
      </w:r>
    </w:p>
    <w:p>
      <w:pPr>
        <w:spacing w:after="140" w:line="300"/>
        <w:jc w:val="both"/>
      </w:pPr>
      <w:r>
        <w:rPr>
          <w:rFonts w:ascii="Arial" w:cs="Arial" w:eastAsia="Arial" w:hAnsi="Arial"/>
        </w:rPr>
        <w:t xml:space="preserve">This report sets out what I took from each team member’s material, what I edited, what I left out and why, what I removed from the handbook, and my overall assessment. The reason for every single point is given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2721"/>
        <w:gridCol w:w="1814"/>
        <w:gridCol w:w="2903"/>
      </w:tblGrid>
      <w:tr>
        <w:trPr>
          <w:tblHeader/>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Member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Outcome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draft (Draft_one); plan and recommendations (Latest updates and thoughts); Text Analysis Model V2-2; terminology selection (with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chapters; the chapter order; Chapters 17 and 25</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 156 of 175 points used (8 as written, 148 edited). Plan: 21 of 38 requests done, 7 partly done, 4 done and later removed, 6 not done. Model: used in full, simplified.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 (selected with Samiuallah)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of 43 points used (1 as written, 24 edited).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Saeed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notes (Intro to AVT; AVT 2)</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26 and 27</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of 62 points used (4 as written, 39 edited).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Alkhaledi (editor)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 study notes; structure, editing, covers, layout, website</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chapters (listed in Section 6)</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used.</w:t>
            </w:r>
          </w:p>
        </w:tc>
      </w:tr>
    </w:tbl>
    <w:p>
      <w:pPr>
        <w:spacing w:after="160"/>
      </w:pPr>
    </w:p>
    <w:p>
      <w:pPr>
        <w:pStyle w:val="Heading1"/>
      </w:pPr>
      <w:r>
        <w:t xml:space="preserve">2. How I made the decisions</w:t>
      </w:r>
    </w:p>
    <w:p>
      <w:pPr>
        <w:pStyle w:val="ListParagraph"/>
        <w:numPr>
          <w:ilvl w:val="0"/>
          <w:numId w:val="2"/>
        </w:numPr>
        <w:spacing w:after="80" w:line="290"/>
      </w:pPr>
      <w:r>
        <w:rPr>
          <w:rFonts w:ascii="Arial" w:cs="Arial" w:eastAsia="Arial" w:hAnsi="Arial"/>
          <w:b/>
          <w:bCs/>
        </w:rPr>
        <w:t xml:space="preserve">The reader is a complete beginner.</w:t>
      </w:r>
      <w:r>
        <w:rPr>
          <w:rFonts w:ascii="Arial" w:cs="Arial" w:eastAsia="Arial" w:hAnsi="Arial"/>
        </w:rPr>
        <w:t xml:space="preserve"> Every idea is explained with an example first, then named, in numbered steps.</w:t>
      </w:r>
    </w:p>
    <w:p>
      <w:pPr>
        <w:pStyle w:val="ListParagraph"/>
        <w:numPr>
          <w:ilvl w:val="0"/>
          <w:numId w:val="2"/>
        </w:numPr>
        <w:spacing w:after="80" w:line="290"/>
      </w:pPr>
      <w:r>
        <w:rPr>
          <w:rFonts w:ascii="Arial" w:cs="Arial" w:eastAsia="Arial" w:hAnsi="Arial"/>
          <w:b/>
          <w:bCs/>
        </w:rPr>
        <w:t xml:space="preserve">Each concept appears once</w:t>
      </w:r>
      <w:r>
        <w:rPr>
          <w:rFonts w:ascii="Arial" w:cs="Arial" w:eastAsia="Arial" w:hAnsi="Arial"/>
        </w:rPr>
        <w:t xml:space="preserve">, in the chapter where it belongs. Material repeated across documents was merged.</w:t>
      </w:r>
    </w:p>
    <w:p>
      <w:pPr>
        <w:pStyle w:val="ListParagraph"/>
        <w:numPr>
          <w:ilvl w:val="0"/>
          <w:numId w:val="2"/>
        </w:numPr>
        <w:spacing w:after="80" w:line="290"/>
      </w:pPr>
      <w:r>
        <w:rPr>
          <w:rFonts w:ascii="Arial" w:cs="Arial" w:eastAsia="Arial" w:hAnsi="Arial"/>
          <w:b/>
          <w:bCs/>
        </w:rPr>
        <w:t xml:space="preserve">Accuracy before quantity.</w:t>
      </w:r>
      <w:r>
        <w:rPr>
          <w:rFonts w:ascii="Arial" w:cs="Arial" w:eastAsia="Arial" w:hAnsi="Arial"/>
        </w:rPr>
        <w:t xml:space="preserve"> Anything wrong was corrected; anything I could not verify was removed rather than printed.</w:t>
      </w:r>
    </w:p>
    <w:p>
      <w:pPr>
        <w:pStyle w:val="ListParagraph"/>
        <w:numPr>
          <w:ilvl w:val="0"/>
          <w:numId w:val="2"/>
        </w:numPr>
        <w:spacing w:after="80" w:line="290"/>
      </w:pPr>
      <w:r>
        <w:rPr>
          <w:rFonts w:ascii="Arial" w:cs="Arial" w:eastAsia="Arial" w:hAnsi="Arial"/>
          <w:b/>
          <w:bCs/>
        </w:rPr>
        <w:t xml:space="preserve">Neutral content.</w:t>
      </w:r>
      <w:r>
        <w:rPr>
          <w:rFonts w:ascii="Arial" w:cs="Arial" w:eastAsia="Arial" w:hAnsi="Arial"/>
        </w:rPr>
        <w:t xml:space="preserve"> Examples that took a political or religious position were rewritten or removed.</w:t>
      </w:r>
    </w:p>
    <w:p>
      <w:pPr>
        <w:pStyle w:val="ListParagraph"/>
        <w:numPr>
          <w:ilvl w:val="0"/>
          <w:numId w:val="2"/>
        </w:numPr>
        <w:spacing w:after="80" w:line="290"/>
      </w:pPr>
      <w:r>
        <w:rPr>
          <w:rFonts w:ascii="Arial" w:cs="Arial" w:eastAsia="Arial" w:hAnsi="Arial"/>
          <w:b/>
          <w:bCs/>
        </w:rPr>
        <w:t xml:space="preserve">Light pages.</w:t>
      </w:r>
      <w:r>
        <w:rPr>
          <w:rFonts w:ascii="Arial" w:cs="Arial" w:eastAsia="Arial" w:hAnsi="Arial"/>
        </w:rPr>
        <w:t xml:space="preserve"> History, specialist theory and long explanations were cut, so that the book stays under 100 pages.</w:t>
      </w:r>
    </w:p>
    <w:p>
      <w:pPr>
        <w:pStyle w:val="ListParagraph"/>
        <w:numPr>
          <w:ilvl w:val="0"/>
          <w:numId w:val="2"/>
        </w:numPr>
        <w:spacing w:after="80" w:line="290"/>
      </w:pPr>
      <w:r>
        <w:rPr>
          <w:rFonts w:ascii="Arial" w:cs="Arial" w:eastAsia="Arial" w:hAnsi="Arial"/>
          <w:b/>
          <w:bCs/>
        </w:rPr>
        <w:t xml:space="preserve">Every borrowed idea is cited</w:t>
      </w:r>
      <w:r>
        <w:rPr>
          <w:rFonts w:ascii="Arial" w:cs="Arial" w:eastAsia="Arial" w:hAnsi="Arial"/>
        </w:rPr>
        <w:t xml:space="preserve">, with scholars’ names in brackets only, and every citation matches a reference.</w:t>
      </w:r>
    </w:p>
    <w:p>
      <w:pPr>
        <w:spacing w:after="60"/>
      </w:pPr>
    </w:p>
    <w:p>
      <w:pPr>
        <w:pStyle w:val="Heading1"/>
      </w:pPr>
      <w:r>
        <w:t xml:space="preserve">3. Samiuallah Mohammad</w:t>
      </w:r>
    </w:p>
    <w:p>
      <w:pPr>
        <w:pStyle w:val="Heading2"/>
      </w:pPr>
      <w:r>
        <w:t xml:space="preserve">3.1 First draft</w:t>
      </w:r>
    </w:p>
    <w:p>
      <w:pPr>
        <w:spacing w:after="140" w:line="300"/>
        <w:jc w:val="both"/>
      </w:pPr>
      <w:r>
        <w:rPr>
          <w:rFonts w:ascii="Arial" w:cs="Arial" w:eastAsia="Arial" w:hAnsi="Arial"/>
          <w:b/>
          <w:bCs/>
        </w:rPr>
        <w:t xml:space="preserve">Taken</w:t>
      </w:r>
      <w:r>
        <w:rPr>
          <w:rFonts w:ascii="Arial" w:cs="Arial" w:eastAsia="Arial" w:hAnsi="Arial"/>
        </w:rPr>
        <w:t xml:space="preserve">, rewritten for beginners: the definitions, the differences between English and Arabic, the translator and translation, form and meaning, types of meaning, context, collocation, idioms, equivalence, literal and free translation, metaphor, strategies, cultural approximation, descriptive translation, lexical creation, text analysis (with the KUNA example), commentary, post-editing and many exercise items. </w:t>
      </w:r>
      <w:r>
        <w:rPr>
          <w:rFonts w:ascii="Arial" w:cs="Arial" w:eastAsia="Arial" w:hAnsi="Arial"/>
          <w:b/>
          <w:bCs/>
        </w:rPr>
        <w:t xml:space="preserve">Why:</w:t>
      </w:r>
      <w:r>
        <w:rPr>
          <w:rFonts w:ascii="Arial" w:cs="Arial" w:eastAsia="Arial" w:hAnsi="Arial"/>
        </w:rPr>
        <w:t xml:space="preserve"> they form the core of a beginner’s course, and they set the scope of the book.</w:t>
      </w:r>
    </w:p>
    <w:p>
      <w:pPr>
        <w:spacing w:after="140" w:line="300"/>
        <w:jc w:val="both"/>
      </w:pPr>
      <w:r>
        <w:rPr>
          <w:rFonts w:ascii="Arial" w:cs="Arial" w:eastAsia="Arial" w:hAnsi="Arial"/>
          <w:b/>
          <w:bCs/>
        </w:rPr>
        <w:t xml:space="preserve">Edited:</w:t>
      </w:r>
      <w:r>
        <w:rPr>
          <w:rFonts w:ascii="Arial" w:cs="Arial" w:eastAsia="Arial" w:hAnsi="Arial"/>
        </w:rPr>
        <w:t xml:space="preserve"> repeated topics merged; empty headings (terminology, machine translation, glossary, references) written in full; errors corrected, for example the Arabic for “died”, “kick the bucket”, “Bush’s poodle”, “mark my words”, the rule on Arabic word order, and two mistranslated examples (</w:t>
      </w:r>
      <w:r>
        <w:rPr>
          <w:rFonts w:ascii="Arial" w:cs="Arial" w:eastAsia="Arial" w:hAnsi="Arial"/>
          <w:i/>
          <w:iCs/>
        </w:rPr>
        <w:t xml:space="preserve">the cake</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colloquial Arabic replaced with formal Arabic.</w:t>
      </w:r>
    </w:p>
    <w:p>
      <w:pPr>
        <w:spacing w:after="140" w:line="300"/>
        <w:jc w:val="both"/>
      </w:pPr>
      <w:r>
        <w:rPr>
          <w:rFonts w:ascii="Arial" w:cs="Arial" w:eastAsia="Arial" w:hAnsi="Arial"/>
          <w:b/>
          <w:bCs/>
        </w:rPr>
        <w:t xml:space="preserve">Not taken</w:t>
      </w:r>
      <w:r>
        <w:rPr>
          <w:rFonts w:ascii="Arial" w:cs="Arial" w:eastAsia="Arial" w:hAnsi="Arial"/>
        </w:rPr>
        <w:t xml:space="preserve"> (51 items), and why:</w:t>
      </w:r>
    </w:p>
    <w:p>
      <w:pPr>
        <w:pStyle w:val="ListParagraph"/>
        <w:numPr>
          <w:ilvl w:val="0"/>
          <w:numId w:val="2"/>
        </w:numPr>
        <w:spacing w:after="80" w:line="290"/>
      </w:pPr>
      <w:r>
        <w:rPr>
          <w:rFonts w:ascii="Arial" w:cs="Arial" w:eastAsia="Arial" w:hAnsi="Arial"/>
          <w:b/>
          <w:bCs/>
        </w:rPr>
        <w:t xml:space="preserve">Wrong or unclear</w:t>
      </w:r>
      <w:r>
        <w:rPr>
          <w:rFonts w:ascii="Arial" w:cs="Arial" w:eastAsia="Arial" w:hAnsi="Arial"/>
        </w:rPr>
        <w:t xml:space="preserve">, for example “Principles = Foundations” and “mule” as a synonym of “horse”: they would mislead a beginner.</w:t>
      </w:r>
    </w:p>
    <w:p>
      <w:pPr>
        <w:pStyle w:val="ListParagraph"/>
        <w:numPr>
          <w:ilvl w:val="0"/>
          <w:numId w:val="2"/>
        </w:numPr>
        <w:spacing w:after="80" w:line="290"/>
      </w:pPr>
      <w:r>
        <w:rPr>
          <w:rFonts w:ascii="Arial" w:cs="Arial" w:eastAsia="Arial" w:hAnsi="Arial"/>
          <w:b/>
          <w:bCs/>
        </w:rPr>
        <w:t xml:space="preserve">Not verifiable</w:t>
      </w:r>
      <w:r>
        <w:rPr>
          <w:rFonts w:ascii="Arial" w:cs="Arial" w:eastAsia="Arial" w:hAnsi="Arial"/>
        </w:rPr>
        <w:t xml:space="preserve">, for example the “74 fields” of the Jordanian academy: no source confirms it.</w:t>
      </w:r>
    </w:p>
    <w:p>
      <w:pPr>
        <w:pStyle w:val="ListParagraph"/>
        <w:numPr>
          <w:ilvl w:val="0"/>
          <w:numId w:val="2"/>
        </w:numPr>
        <w:spacing w:after="80" w:line="290"/>
      </w:pPr>
      <w:r>
        <w:rPr>
          <w:rFonts w:ascii="Arial" w:cs="Arial" w:eastAsia="Arial" w:hAnsi="Arial"/>
          <w:b/>
          <w:bCs/>
        </w:rPr>
        <w:t xml:space="preserve">Not neutral</w:t>
      </w:r>
      <w:r>
        <w:rPr>
          <w:rFonts w:ascii="Arial" w:cs="Arial" w:eastAsia="Arial" w:hAnsi="Arial"/>
        </w:rPr>
        <w:t xml:space="preserve">, for example a named news agency described as biased, and a Qur’anic verse given as the equivalent of an English proverb: unsuitable for a club publication.</w:t>
      </w:r>
    </w:p>
    <w:p>
      <w:pPr>
        <w:pStyle w:val="ListParagraph"/>
        <w:numPr>
          <w:ilvl w:val="0"/>
          <w:numId w:val="2"/>
        </w:numPr>
        <w:spacing w:after="80" w:line="290"/>
      </w:pPr>
      <w:r>
        <w:rPr>
          <w:rFonts w:ascii="Arial" w:cs="Arial" w:eastAsia="Arial" w:hAnsi="Arial"/>
          <w:b/>
          <w:bCs/>
        </w:rPr>
        <w:t xml:space="preserve">Invented words</w:t>
      </w:r>
      <w:r>
        <w:rPr>
          <w:rFonts w:ascii="Arial" w:cs="Arial" w:eastAsia="Arial" w:hAnsi="Arial"/>
        </w:rPr>
        <w:t xml:space="preserve"> (tribocracy, puppycracy): not real English.</w:t>
      </w:r>
    </w:p>
    <w:p>
      <w:pPr>
        <w:pStyle w:val="ListParagraph"/>
        <w:numPr>
          <w:ilvl w:val="0"/>
          <w:numId w:val="2"/>
        </w:numPr>
        <w:spacing w:after="80" w:line="290"/>
      </w:pPr>
      <w:r>
        <w:rPr>
          <w:rFonts w:ascii="Arial" w:cs="Arial" w:eastAsia="Arial" w:hAnsi="Arial"/>
          <w:b/>
          <w:bCs/>
        </w:rPr>
        <w:t xml:space="preserve">Some exercise items</w:t>
      </w:r>
      <w:r>
        <w:rPr>
          <w:rFonts w:ascii="Arial" w:cs="Arial" w:eastAsia="Arial" w:hAnsi="Arial"/>
        </w:rPr>
        <w:t xml:space="preserve">, left out for space; they could form an exercise set later.</w:t>
      </w:r>
    </w:p>
    <w:p>
      <w:pPr>
        <w:spacing w:after="60"/>
      </w:pPr>
    </w:p>
    <w:p>
      <w:pPr>
        <w:pStyle w:val="Heading2"/>
      </w:pPr>
      <w:r>
        <w:t xml:space="preserve">3.2 Plan and recommendations</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the chapter order from easy to hard, the missing strategies and types of translation, the seven procedures, tips at the start, and the chapters on analysis, commentary, dictionaries, terminology, machine translation, genres, common mistakes and the risk matrix.</w:t>
      </w:r>
    </w:p>
    <w:p>
      <w:pPr>
        <w:pStyle w:val="ListParagraph"/>
        <w:numPr>
          <w:ilvl w:val="0"/>
          <w:numId w:val="2"/>
        </w:numPr>
        <w:spacing w:after="80" w:line="290"/>
      </w:pPr>
      <w:r>
        <w:rPr>
          <w:rFonts w:ascii="Arial" w:cs="Arial" w:eastAsia="Arial" w:hAnsi="Arial"/>
          <w:b/>
          <w:bCs/>
        </w:rPr>
        <w:t xml:space="preserve">Done, then removed:</w:t>
      </w:r>
      <w:r>
        <w:rPr>
          <w:rFonts w:ascii="Arial" w:cs="Arial" w:eastAsia="Arial" w:hAnsi="Arial"/>
        </w:rPr>
        <w:t xml:space="preserve"> the practice section, the checklists and the note on future editions (see Section 7).</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covers the “Words to remember” terms but not every term in the text; news is taught through headlines rather than a full article; the relational model is given as three practical questions (Chapter 19).</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the examples from “the book”, the 180, 182, 386 and Analysis texts, the text </w:t>
      </w:r>
      <w:r>
        <w:rPr>
          <w:rFonts w:ascii="Arial" w:cs="Arial" w:hAnsi="Arial"/>
          <w:szCs w:val="23"/>
          <w:rtl/>
        </w:rPr>
        <w:t xml:space="preserve">الترجمة: ماهيتها</w:t>
      </w:r>
      <w:r>
        <w:rPr>
          <w:rFonts w:ascii="Arial" w:cs="Arial" w:eastAsia="Arial" w:hAnsi="Arial"/>
        </w:rPr>
        <w:t xml:space="preserve">, and Dr Abdullah’s framework.</w:t>
      </w:r>
    </w:p>
    <w:p>
      <w:pPr>
        <w:spacing w:after="60"/>
      </w:pPr>
    </w:p>
    <w:p>
      <w:pPr>
        <w:pStyle w:val="Heading2"/>
      </w:pPr>
      <w:r>
        <w:t xml:space="preserve">3.3 Text Analysis Model V2-2</w:t>
      </w:r>
    </w:p>
    <w:p>
      <w:pPr>
        <w:pStyle w:val="ListParagraph"/>
        <w:numPr>
          <w:ilvl w:val="0"/>
          <w:numId w:val="2"/>
        </w:numPr>
        <w:spacing w:after="80" w:line="290"/>
      </w:pPr>
      <w:r>
        <w:rPr>
          <w:rFonts w:ascii="Arial" w:cs="Arial" w:eastAsia="Arial" w:hAnsi="Arial"/>
          <w:b/>
          <w:bCs/>
        </w:rPr>
        <w:t xml:space="preserve">Taken:</w:t>
      </w:r>
      <w:r>
        <w:rPr>
          <w:rFonts w:ascii="Arial" w:cs="Arial" w:eastAsia="Arial" w:hAnsi="Arial"/>
        </w:rPr>
        <w:t xml:space="preserve"> the three-step process, the linguistic level (micro and macro) and the external level, in Chapter 17; consulting the analysis in the commentary, in Chapter 25; the model as a quality check, linked to Chapter 23. Fairclough (2003) was added to the References. </w:t>
      </w:r>
      <w:r>
        <w:rPr>
          <w:rFonts w:ascii="Arial" w:cs="Arial" w:eastAsia="Arial" w:hAnsi="Arial"/>
          <w:b/>
          <w:bCs/>
        </w:rPr>
        <w:t xml:space="preserve">Why:</w:t>
      </w:r>
      <w:r>
        <w:rPr>
          <w:rFonts w:ascii="Arial" w:cs="Arial" w:eastAsia="Arial" w:hAnsi="Arial"/>
        </w:rPr>
        <w:t xml:space="preserve"> it gives beginners a clear, complete method.</w:t>
      </w:r>
    </w:p>
    <w:p>
      <w:pPr>
        <w:pStyle w:val="ListParagraph"/>
        <w:numPr>
          <w:ilvl w:val="0"/>
          <w:numId w:val="2"/>
        </w:numPr>
        <w:spacing w:after="80" w:line="290"/>
      </w:pPr>
      <w:r>
        <w:rPr>
          <w:rFonts w:ascii="Arial" w:cs="Arial" w:eastAsia="Arial" w:hAnsi="Arial"/>
          <w:b/>
          <w:bCs/>
        </w:rPr>
        <w:t xml:space="preserve">Not taken:</w:t>
      </w:r>
      <w:r>
        <w:rPr>
          <w:rFonts w:ascii="Arial" w:cs="Arial" w:eastAsia="Arial" w:hAnsi="Arial"/>
        </w:rPr>
        <w:t xml:space="preserve"> blending, clippings, infixation, frame-modification, re-modelling, Al-ta’reed, monitoring, and intrinsic and extrinsic managing. </w:t>
      </w:r>
      <w:r>
        <w:rPr>
          <w:rFonts w:ascii="Arial" w:cs="Arial" w:eastAsia="Arial" w:hAnsi="Arial"/>
          <w:b/>
          <w:bCs/>
        </w:rPr>
        <w:t xml:space="preserve">Why:</w:t>
      </w:r>
      <w:r>
        <w:rPr>
          <w:rFonts w:ascii="Arial" w:cs="Arial" w:eastAsia="Arial" w:hAnsi="Arial"/>
        </w:rPr>
        <w:t xml:space="preserve"> too advanced for a first handbook.</w:t>
      </w:r>
    </w:p>
    <w:p>
      <w:pPr>
        <w:spacing w:after="60"/>
      </w:pPr>
    </w:p>
    <w:p>
      <w:pPr>
        <w:pStyle w:val="Heading1"/>
      </w:pPr>
      <w:r>
        <w:t xml:space="preserve">4. Masooma Almesri</w:t>
      </w:r>
    </w:p>
    <w:p>
      <w:pPr>
        <w:pStyle w:val="ListParagraph"/>
        <w:numPr>
          <w:ilvl w:val="0"/>
          <w:numId w:val="2"/>
        </w:numPr>
        <w:spacing w:after="80" w:line="290"/>
      </w:pPr>
      <w:r>
        <w:rPr>
          <w:rFonts w:ascii="Arial" w:cs="Arial" w:eastAsia="Arial" w:hAnsi="Arial"/>
          <w:b/>
          <w:bCs/>
        </w:rPr>
        <w:t xml:space="preserve">Taken:</w:t>
      </w:r>
      <w:r>
        <w:rPr>
          <w:rFonts w:ascii="Arial" w:cs="Arial" w:eastAsia="Arial" w:hAnsi="Arial"/>
        </w:rPr>
        <w:t xml:space="preserve"> the definition of terminology, the translator and the terminologist, why terms must be managed, short forms, what makes a good term, the Arabic language academies, how to translate a term, term lists, termbases, and one term for one idea. </w:t>
      </w:r>
      <w:r>
        <w:rPr>
          <w:rFonts w:ascii="Arial" w:cs="Arial" w:eastAsia="Arial" w:hAnsi="Arial"/>
          <w:b/>
          <w:bCs/>
        </w:rPr>
        <w:t xml:space="preserve">Why:</w:t>
      </w:r>
      <w:r>
        <w:rPr>
          <w:rFonts w:ascii="Arial" w:cs="Arial" w:eastAsia="Arial" w:hAnsi="Arial"/>
        </w:rPr>
        <w:t xml:space="preserve"> these are what a beginner needs in order to handle terms.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the history of the field and the roles of ISO, IEC and ITU.</w:t>
      </w:r>
    </w:p>
    <w:p>
      <w:pPr>
        <w:pStyle w:val="ListParagraph"/>
        <w:numPr>
          <w:ilvl w:val="0"/>
          <w:numId w:val="2"/>
        </w:numPr>
        <w:spacing w:after="80" w:line="290"/>
      </w:pPr>
      <w:r>
        <w:rPr>
          <w:rFonts w:ascii="Arial" w:cs="Arial" w:eastAsia="Arial" w:hAnsi="Arial"/>
          <w:b/>
          <w:bCs/>
        </w:rPr>
        <w:t xml:space="preserve">Not taken:</w:t>
      </w:r>
      <w:r>
        <w:rPr>
          <w:rFonts w:ascii="Arial" w:cs="Arial" w:eastAsia="Arial" w:hAnsi="Arial"/>
        </w:rPr>
        <w:t xml:space="preserve"> the history and schools of terminology, the categories of terms, the academies’ detailed methods, most of the nine naming rules, and the standardisation bodies. </w:t>
      </w:r>
      <w:r>
        <w:rPr>
          <w:rFonts w:ascii="Arial" w:cs="Arial" w:eastAsia="Arial" w:hAnsi="Arial"/>
          <w:b/>
          <w:bCs/>
        </w:rPr>
        <w:t xml:space="preserve">Why:</w:t>
      </w:r>
      <w:r>
        <w:rPr>
          <w:rFonts w:ascii="Arial" w:cs="Arial" w:eastAsia="Arial" w:hAnsi="Arial"/>
        </w:rPr>
        <w:t xml:space="preserve"> too specialised for beginners, and the academies’ methods could not be verified.</w:t>
      </w:r>
    </w:p>
    <w:p>
      <w:pPr>
        <w:pStyle w:val="ListParagraph"/>
        <w:numPr>
          <w:ilvl w:val="0"/>
          <w:numId w:val="2"/>
        </w:numPr>
        <w:spacing w:after="80" w:line="290"/>
      </w:pPr>
      <w:r>
        <w:rPr>
          <w:rFonts w:ascii="Arial" w:cs="Arial" w:eastAsia="Arial" w:hAnsi="Arial"/>
          <w:b/>
          <w:bCs/>
        </w:rPr>
        <w:t xml:space="preserve">Added by me:</w:t>
      </w:r>
      <w:r>
        <w:rPr>
          <w:rFonts w:ascii="Arial" w:cs="Arial" w:eastAsia="Arial" w:hAnsi="Arial"/>
        </w:rPr>
        <w:t xml:space="preserve"> UNTERM, Arabterm, a sample term list, medical examples, and sources (the chapter cited none).</w:t>
      </w:r>
    </w:p>
    <w:p>
      <w:pPr>
        <w:spacing w:after="60"/>
      </w:pPr>
    </w:p>
    <w:p>
      <w:pPr>
        <w:pStyle w:val="Heading1"/>
      </w:pPr>
      <w:r>
        <w:t xml:space="preserve">5. Loulwah Saeed</w:t>
      </w:r>
    </w:p>
    <w:p>
      <w:pPr>
        <w:pStyle w:val="ListParagraph"/>
        <w:numPr>
          <w:ilvl w:val="0"/>
          <w:numId w:val="2"/>
        </w:numPr>
        <w:spacing w:after="80" w:line="290"/>
      </w:pPr>
      <w:r>
        <w:rPr>
          <w:rFonts w:ascii="Arial" w:cs="Arial" w:eastAsia="Arial" w:hAnsi="Arial"/>
          <w:b/>
          <w:bCs/>
        </w:rPr>
        <w:t xml:space="preserve">Taken:</w:t>
      </w:r>
      <w:r>
        <w:rPr>
          <w:rFonts w:ascii="Arial" w:cs="Arial" w:eastAsia="Arial" w:hAnsi="Arial"/>
        </w:rPr>
        <w:t xml:space="preserve"> why audiovisual translation matters, its main types, dubbing, purpose first (Skopos theory), the challenges, subtitles, words, images and sound, language variety, cultural references, subtitling strategies, and taboo language. </w:t>
      </w:r>
      <w:r>
        <w:rPr>
          <w:rFonts w:ascii="Arial" w:cs="Arial" w:eastAsia="Arial" w:hAnsi="Arial"/>
          <w:b/>
          <w:bCs/>
        </w:rPr>
        <w:t xml:space="preserve">Why:</w:t>
      </w:r>
      <w:r>
        <w:rPr>
          <w:rFonts w:ascii="Arial" w:cs="Arial" w:eastAsia="Arial" w:hAnsi="Arial"/>
        </w:rPr>
        <w:t xml:space="preserve"> they give a complete, practical introduction.</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two lists of strategies merged into one; the names Vermeer, Díaz Cintas and Remael; the line length (about 37 to 39 characters, up to 42 on streaming platforms); dubbing in the Arab world.</w:t>
      </w:r>
    </w:p>
    <w:p>
      <w:pPr>
        <w:pStyle w:val="ListParagraph"/>
        <w:numPr>
          <w:ilvl w:val="0"/>
          <w:numId w:val="2"/>
        </w:numPr>
        <w:spacing w:after="80" w:line="290"/>
      </w:pPr>
      <w:r>
        <w:rPr>
          <w:rFonts w:ascii="Arial" w:cs="Arial" w:eastAsia="Arial" w:hAnsi="Arial"/>
          <w:b/>
          <w:bCs/>
        </w:rPr>
        <w:t xml:space="preserve">Not taken:</w:t>
      </w:r>
      <w:r>
        <w:rPr>
          <w:rFonts w:ascii="Arial" w:cs="Arial" w:eastAsia="Arial" w:hAnsi="Arial"/>
        </w:rPr>
        <w:t xml:space="preserve"> the history of the field, three of the four theories, the Arab-world summary, the YouTube links and several minor types. </w:t>
      </w:r>
      <w:r>
        <w:rPr>
          <w:rFonts w:ascii="Arial" w:cs="Arial" w:eastAsia="Arial" w:hAnsi="Arial"/>
          <w:b/>
          <w:bCs/>
        </w:rPr>
        <w:t xml:space="preserve">Why:</w:t>
      </w:r>
      <w:r>
        <w:rPr>
          <w:rFonts w:ascii="Arial" w:cs="Arial" w:eastAsia="Arial" w:hAnsi="Arial"/>
        </w:rPr>
        <w:t xml:space="preserve"> theory beyond a beginner’s needs, and links stop working in print.</w:t>
      </w:r>
    </w:p>
    <w:p>
      <w:pPr>
        <w:pStyle w:val="ListParagraph"/>
        <w:numPr>
          <w:ilvl w:val="0"/>
          <w:numId w:val="2"/>
        </w:numPr>
        <w:spacing w:after="80" w:line="290"/>
      </w:pPr>
      <w:r>
        <w:rPr>
          <w:rFonts w:ascii="Arial" w:cs="Arial" w:eastAsia="Arial" w:hAnsi="Arial"/>
          <w:b/>
          <w:bCs/>
        </w:rPr>
        <w:t xml:space="preserve">Added by me:</w:t>
      </w:r>
      <w:r>
        <w:rPr>
          <w:rFonts w:ascii="Arial" w:cs="Arial" w:eastAsia="Arial" w:hAnsi="Arial"/>
        </w:rPr>
        <w:t xml:space="preserve"> subtitle timing and spotting, SDH, a five-step method, a worked example, rules for Arabic subtitles and first steps for beginners.</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her notes on machine translation and dictionaries, and the Principles of Translation notes. Chapters 10, 13, 20 and 22 were written from published sources instead.</w:t>
      </w:r>
    </w:p>
    <w:p>
      <w:pPr>
        <w:spacing w:after="60"/>
      </w:pPr>
    </w:p>
    <w:p>
      <w:pPr>
        <w:pStyle w:val="Heading1"/>
      </w:pPr>
      <w:r>
        <w:t xml:space="preserve">6. My own contributions</w:t>
      </w:r>
    </w:p>
    <w:p>
      <w:pPr>
        <w:pStyle w:val="ListParagraph"/>
        <w:numPr>
          <w:ilvl w:val="0"/>
          <w:numId w:val="2"/>
        </w:numPr>
        <w:spacing w:after="80" w:line="290"/>
      </w:pPr>
      <w:r>
        <w:rPr>
          <w:rFonts w:ascii="Arial" w:cs="Arial" w:eastAsia="Arial" w:hAnsi="Arial"/>
          <w:b/>
          <w:bCs/>
        </w:rPr>
        <w:t xml:space="preserve">Structure and editing:</w:t>
      </w:r>
      <w:r>
        <w:rPr>
          <w:rFonts w:ascii="Arial" w:cs="Arial" w:eastAsia="Arial" w:hAnsi="Arial"/>
        </w:rPr>
        <w:t xml:space="preserve"> the 9 parts and 27 chapters, the guided format, </w:t>
      </w:r>
      <w:r>
        <w:rPr>
          <w:rFonts w:ascii="Arial" w:cs="Arial" w:eastAsia="Arial" w:hAnsi="Arial"/>
          <w:b/>
          <w:bCs/>
        </w:rPr>
        <w:t xml:space="preserve">Start here</w:t>
      </w:r>
      <w:r>
        <w:rPr>
          <w:rFonts w:ascii="Arial" w:cs="Arial" w:eastAsia="Arial" w:hAnsi="Arial"/>
        </w:rPr>
        <w:t xml:space="preserve">, the rewriting and proofreading of every chapter, and two full expert reviews (192 and 102 corrections).</w:t>
      </w:r>
    </w:p>
    <w:p>
      <w:pPr>
        <w:pStyle w:val="ListParagraph"/>
        <w:numPr>
          <w:ilvl w:val="0"/>
          <w:numId w:val="2"/>
        </w:numPr>
        <w:spacing w:after="80" w:line="290"/>
      </w:pPr>
      <w:r>
        <w:rPr>
          <w:rFonts w:ascii="Arial" w:cs="Arial" w:eastAsia="Arial" w:hAnsi="Arial"/>
          <w:b/>
          <w:bCs/>
        </w:rPr>
        <w:t xml:space="preserve">My study notes</w:t>
      </w:r>
      <w:r>
        <w:rPr>
          <w:rFonts w:ascii="Arial" w:cs="Arial" w:eastAsia="Arial" w:hAnsi="Arial"/>
        </w:rPr>
        <w:t xml:space="preserve">, used in Chapters 1, 3, 5, 6, 7, 8, 13, 16, 18, 21, 22 and 26: for example the three kinds of translation,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problems with single words, idioms, news headlines and the inverted pyramid, CAT tools and localisation, and the Arabic dubbing of </w:t>
      </w:r>
      <w:r>
        <w:rPr>
          <w:rFonts w:ascii="Arial" w:cs="Arial" w:eastAsia="Arial" w:hAnsi="Arial"/>
          <w:i/>
          <w:iCs/>
        </w:rPr>
        <w:t xml:space="preserve">The Simpsons</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Added from published sources</w:t>
      </w:r>
      <w:r>
        <w:rPr>
          <w:rFonts w:ascii="Arial" w:cs="Arial" w:eastAsia="Arial" w:hAnsi="Arial"/>
        </w:rPr>
        <w:t xml:space="preserve"> where the team’s material had gaps: the seven procedures, communicative translation, explicitation and implicitation, genres, dictionaries, common mistakes and the risk matrix.</w:t>
      </w:r>
    </w:p>
    <w:p>
      <w:pPr>
        <w:pStyle w:val="ListParagraph"/>
        <w:numPr>
          <w:ilvl w:val="0"/>
          <w:numId w:val="2"/>
        </w:numPr>
        <w:spacing w:after="80" w:line="290"/>
      </w:pPr>
      <w:r>
        <w:rPr>
          <w:rFonts w:ascii="Arial" w:cs="Arial" w:eastAsia="Arial" w:hAnsi="Arial"/>
          <w:b/>
          <w:bCs/>
        </w:rPr>
        <w:t xml:space="preserve">Design:</w:t>
      </w:r>
      <w:r>
        <w:rPr>
          <w:rFonts w:ascii="Arial" w:cs="Arial" w:eastAsia="Arial" w:hAnsi="Arial"/>
        </w:rPr>
        <w:t xml:space="preserve"> the two covers (Midnight and Light), the page layout, the QR code and the team’s website.</w:t>
      </w:r>
    </w:p>
    <w:p>
      <w:pPr>
        <w:spacing w:after="60"/>
      </w:pPr>
    </w:p>
    <w:p>
      <w:pPr>
        <w:pStyle w:val="Heading1"/>
      </w:pPr>
      <w:r>
        <w:t xml:space="preserve">7. What I removed from the handbook,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and its answer key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every chapter keeps its “Try it” questions with answers.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in a first edition.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for beginners; every idea keeps its bracketed citation.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Mentions of the course and the lecturer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should stand on its own.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Lighter pages: repetition, filler and long explanations.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Concepts duplicated from my notes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Each concept appears once; the examples were moved into the existing concepts.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the empty Dr Abdullah checklist, unconfirmed reviewers’ names and the Guild Season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8. My overall assessment</w:t>
      </w:r>
    </w:p>
    <w:p>
      <w:pPr>
        <w:spacing w:after="140" w:line="300"/>
        <w:jc w:val="both"/>
      </w:pPr>
      <w:r>
        <w:rPr>
          <w:rFonts w:ascii="Arial" w:cs="Arial" w:eastAsia="Arial" w:hAnsi="Arial"/>
        </w:rPr>
        <w:t xml:space="preserve">The team’s material gave the handbook a strong base. The draft covered almost the whole syllabus, and the specialist notes on terminology and audiovisual translation were rich in content. The draft’s main weaknesses were repetition, some inaccurate examples and claims without sources; the specialist notes were pitched above a beginner’s level. My work was therefore to correct, reduce and order the material, fill the gaps from published sources, and present everything as a step-by-step guide.</w:t>
      </w:r>
    </w:p>
    <w:p>
      <w:pPr>
        <w:spacing w:after="140" w:line="300"/>
        <w:jc w:val="both"/>
      </w:pPr>
      <w:r>
        <w:rPr>
          <w:rFonts w:ascii="Arial" w:cs="Arial" w:eastAsia="Arial" w:hAnsi="Arial"/>
        </w:rPr>
        <w:t xml:space="preserve">The handbook is ready for a final reading by a native Arabic specialist and for the supervisor’s approval once the points below and in Section 7 of the Final Report are settled.</w:t>
      </w:r>
    </w:p>
    <w:p>
      <w:pPr>
        <w:pStyle w:val="Heading1"/>
      </w:pPr>
      <w:r>
        <w:t xml:space="preserve">9. To confirm</w:t>
      </w:r>
    </w:p>
    <w:p>
      <w:pPr>
        <w:pStyle w:val="ListParagraph"/>
        <w:numPr>
          <w:ilvl w:val="0"/>
          <w:numId w:val="2"/>
        </w:numPr>
        <w:spacing w:after="80" w:line="290"/>
      </w:pPr>
      <w:r>
        <w:rPr>
          <w:rFonts w:ascii="Arial" w:cs="Arial" w:eastAsia="Arial" w:hAnsi="Arial"/>
          <w:color w:val="C00000"/>
        </w:rPr>
        <w:t xml:space="preserve">The spelling of every name and role on the new Contributors page (front matter, page iv).</w:t>
      </w:r>
    </w:p>
    <w:p>
      <w:pPr>
        <w:pStyle w:val="ListParagraph"/>
        <w:numPr>
          <w:ilvl w:val="0"/>
          <w:numId w:val="2"/>
        </w:numPr>
        <w:spacing w:after="80" w:line="290"/>
      </w:pPr>
      <w:r>
        <w:rPr>
          <w:rFonts w:ascii="Arial" w:cs="Arial" w:eastAsia="Arial" w:hAnsi="Arial"/>
          <w:color w:val="C00000"/>
        </w:rPr>
        <w:t xml:space="preserve">That the audiovisual translation notes are Loulwah’s.</w:t>
      </w:r>
    </w:p>
    <w:p>
      <w:pPr>
        <w:pStyle w:val="ListParagraph"/>
        <w:numPr>
          <w:ilvl w:val="0"/>
          <w:numId w:val="2"/>
        </w:numPr>
        <w:spacing w:after="80" w:line="290"/>
      </w:pPr>
      <w:r>
        <w:rPr>
          <w:rFonts w:ascii="Arial" w:cs="Arial" w:eastAsia="Arial" w:hAnsi="Arial"/>
          <w:color w:val="C00000"/>
        </w:rPr>
        <w:t xml:space="preserve">Whether Samiuallah Mohammad should be listed under supervision rather than as a contributor.</w:t>
      </w:r>
    </w:p>
    <w:p>
      <w:pPr>
        <w:pStyle w:val="ListParagraph"/>
        <w:numPr>
          <w:ilvl w:val="0"/>
          <w:numId w:val="2"/>
        </w:numPr>
        <w:spacing w:after="80" w:line="290"/>
      </w:pPr>
      <w:r>
        <w:rPr>
          <w:rFonts w:ascii="Arial" w:cs="Arial" w:eastAsia="Arial" w:hAnsi="Arial"/>
          <w:color w:val="C00000"/>
        </w:rPr>
        <w:t xml:space="preserve">Any team member not yet listed, and what they contributed.</w:t>
      </w:r>
    </w:p>
    <w:p>
      <w:pPr>
        <w:pStyle w:val="ListParagraph"/>
        <w:numPr>
          <w:ilvl w:val="0"/>
          <w:numId w:val="2"/>
        </w:numPr>
        <w:spacing w:after="80" w:line="290"/>
      </w:pPr>
      <w:r>
        <w:rPr>
          <w:rFonts w:ascii="Arial" w:cs="Arial" w:eastAsia="Arial" w:hAnsi="Arial"/>
          <w:color w:val="C00000"/>
        </w:rPr>
        <w:t xml:space="preserve">Whether the materials not yet received (Section 3.2 and Section 5) should be added in this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2026-09-25T20:08:57.224Z</dcterms:created>
  <dcterms:modified xsi:type="dcterms:W3CDTF">2026-09-25T20:08:57.224Z</dcterms:modified>
</cp:coreProperties>
</file>

<file path=docProps/custom.xml><?xml version="1.0" encoding="utf-8"?>
<Properties xmlns="http://schemas.openxmlformats.org/officeDocument/2006/custom-properties" xmlns:vt="http://schemas.openxmlformats.org/officeDocument/2006/docPropsVTypes"/>
</file>