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and a new </w:t>
      </w:r>
      <w:r>
        <w:rPr>
          <w:rFonts w:ascii="Arial" w:cs="Arial" w:eastAsia="Arial" w:hAnsi="Arial"/>
          <w:b/>
          <w:bCs/>
        </w:rPr>
        <w:t xml:space="preserve">Contributors</w:t>
      </w:r>
      <w:r>
        <w:rPr>
          <w:rFonts w:ascii="Arial" w:cs="Arial" w:eastAsia="Arial" w:hAnsi="Arial"/>
        </w:rPr>
        <w:t xml:space="preserve"> list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5:</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16:</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10:</w:t>
      </w:r>
      <w:r>
        <w:rPr>
          <w:rFonts w:ascii="Arial" w:cs="Arial" w:eastAsia="Arial" w:hAnsi="Arial"/>
        </w:rPr>
        <w:t xml:space="preserve"> communicative translation, the “middle way” between literal and free translation, with two examples of public notices (requested in the Teams chat, from the Principles of Translation notes, which were not received).</w:t>
      </w:r>
    </w:p>
    <w:p>
      <w:pPr>
        <w:pStyle w:val="ListParagraph"/>
        <w:numPr>
          <w:ilvl w:val="0"/>
          <w:numId w:val="2"/>
        </w:numPr>
        <w:spacing w:after="80" w:line="290"/>
      </w:pPr>
      <w:r>
        <w:rPr>
          <w:rFonts w:ascii="Arial" w:cs="Arial" w:eastAsia="Arial" w:hAnsi="Arial"/>
          <w:b/>
          <w:bCs/>
        </w:rPr>
        <w:t xml:space="preserve">Chapter 12:</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explicitation and implicitation, with three English–Arabic examples (requested in the Teams chat, from the Principles of Translation notes, which were not received).</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3).</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9); form and meaning (Chapter 4); types of meaning (Chapter 5); context, homonymy and polysemy (Chapter 6).</w:t>
      </w:r>
    </w:p>
    <w:p>
      <w:pPr>
        <w:pStyle w:val="ListParagraph"/>
        <w:numPr>
          <w:ilvl w:val="0"/>
          <w:numId w:val="2"/>
        </w:numPr>
        <w:spacing w:after="80" w:line="290"/>
      </w:pPr>
      <w:r>
        <w:rPr>
          <w:rFonts w:ascii="Arial" w:cs="Arial" w:eastAsia="Arial" w:hAnsi="Arial"/>
        </w:rPr>
        <w:t xml:space="preserve">Collocation (Chapter 7); idioms and proverbs (Chapter 8); literal and free translation (Chapter 10); metaphoric translation (Chapter 11).</w:t>
      </w:r>
    </w:p>
    <w:p>
      <w:pPr>
        <w:pStyle w:val="ListParagraph"/>
        <w:numPr>
          <w:ilvl w:val="0"/>
          <w:numId w:val="2"/>
        </w:numPr>
        <w:spacing w:after="80" w:line="290"/>
      </w:pPr>
      <w:r>
        <w:rPr>
          <w:rFonts w:ascii="Arial" w:cs="Arial" w:eastAsia="Arial" w:hAnsi="Arial"/>
        </w:rPr>
        <w:t xml:space="preserve">Translation strategies (Chapter 13); cultural approximation (Chapter 14); descriptive translation (Chapter 15); lexical creation (Chapter 16).</w:t>
      </w:r>
    </w:p>
    <w:p>
      <w:pPr>
        <w:pStyle w:val="ListParagraph"/>
        <w:numPr>
          <w:ilvl w:val="0"/>
          <w:numId w:val="2"/>
        </w:numPr>
        <w:spacing w:after="80" w:line="290"/>
      </w:pPr>
      <w:r>
        <w:rPr>
          <w:rFonts w:ascii="Arial" w:cs="Arial" w:eastAsia="Arial" w:hAnsi="Arial"/>
        </w:rPr>
        <w:t xml:space="preserve">Text analysis, including the KUNA example (Chapter 17);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7, 8 and 14).</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17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18 and 19);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17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which suggests these are Loulwah’s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(a PDF of 59.5 MB):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textbook, the 182 course book, the 386 texts and the Analysis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cited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w:t>
            </w:r>
            <w:r>
              <w:rPr>
                <w:rFonts w:ascii="Arial" w:cs="Arial" w:eastAsia="Arial" w:hAnsi="Arial"/>
                <w:sz w:val="19"/>
                <w:szCs w:val="19"/>
              </w:rPr>
              <w:t xml:space="preserve"> (attributed to Dr Yusuf)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text and author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her audiovisual notes appear to be the AVT notes used in Chapters 26 and 27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10, 13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verified (no source found);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publisher corrected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3, 5, 18,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13, and the examples in Chapters 10 and 13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original sources of the draft’s own examples and of its numbered exercises (16, 24–29). If any come from a published book (for example the 180 or 182 textbooks), that book must be credited.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17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10, 13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Saeed, Masooma Almesri and Samiuallah Mohammad.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that the statement on AI assistance meets the university’s and the publisher’s rules.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19 are enough for the professor’s “relational model”.</w:t>
      </w:r>
    </w:p>
    <w:p>
      <w:pPr>
        <w:pStyle w:val="ListParagraph"/>
        <w:numPr>
          <w:ilvl w:val="0"/>
          <w:numId w:val="2"/>
        </w:numPr>
        <w:spacing w:after="80" w:line="290"/>
      </w:pPr>
      <w:r>
        <w:rPr>
          <w:rFonts w:ascii="Arial" w:cs="Arial" w:eastAsia="Arial" w:hAnsi="Arial"/>
          <w:color w:val="C00000"/>
        </w:rPr>
        <w:t xml:space="preserve">Materials not received: Dr Abdullah’s framework, the text </w:t>
      </w:r>
      <w:r>
        <w:rPr>
          <w:rFonts w:ascii="Arial" w:cs="Arial" w:hAnsi="Arial"/>
          <w:szCs w:val="23"/>
          <w:rtl/>
        </w:rPr>
        <w:t xml:space="preserve">الترجمة: ماهيتها</w:t>
      </w:r>
      <w:r>
        <w:rPr>
          <w:rFonts w:ascii="Arial" w:cs="Arial" w:eastAsia="Arial" w:hAnsi="Arial"/>
          <w:color w:val="C00000"/>
        </w:rPr>
        <w:t xml:space="preserve"> and its author, the 180, 182, 386 and Analysis texts, Loulwah’s notes on machine translation and dictionaries, and the Principles of Translation notes.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2026-09-25T20:08:57.394Z</dcterms:created>
  <dcterms:modified xsi:type="dcterms:W3CDTF">2026-09-25T20:08:57.394Z</dcterms:modified>
</cp:coreProperties>
</file>

<file path=docProps/custom.xml><?xml version="1.0" encoding="utf-8"?>
<Properties xmlns="http://schemas.openxmlformats.org/officeDocument/2006/custom-properties" xmlns:vt="http://schemas.openxmlformats.org/officeDocument/2006/docPropsVTypes"/>
</file>