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92 pages, B5 page size (176 × 250 mm), with 9 parts and 27 chapters, followed by practice texts at three levels with an answer key, four checklists, a note on future editions, a glossary of 102 terms and a list of 39 references.</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39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the checklists, the practice section and the glossary all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102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 sentences in both directions and error correction. Level 2: a legal and human-rights text, classical Arabic poetry and English poetry. Level 3: two news texts, with instructions to use the checklists and the risk matrix.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Level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news texts were written for the handbook and are labelled as such. Authentic texts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18; 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process, an analysis worksheet, words and points of view, and the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and are used again in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Lists the planned Arabic version, more authentic news texts, subtitling exercises with film clips, and chapters on interpreting and on legal and medical translation. The notes do not specify the audiences, so none are named.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is included. The checklist based on Dr Abdullah’s framework is not included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and every practice item has an answer with a short explanation. Level 3 has guidance instead of a single model answer.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the practice section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planned Arabic version is listed.</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(three levels and answer key), four checklists, future editions, glossary, references.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and reference material that draw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uses the more common form only.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answer key, four checklists, 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(paragraph 38).</w:t>
            </w:r>
          </w:p>
        </w:tc>
      </w:tr>
    </w:tbl>
    <w:p>
      <w:pPr>
        <w:spacing w:after="1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middle of the back cover carries a QR code that links to the Translation Team’s website (translators-guild.vercel.app), with the address also printed in full for readers who cannot scan it.</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Dr Abdullah’s framework.</w:t>
      </w:r>
      <w:r>
        <w:rPr>
          <w:rFonts w:ascii="Arial" w:cs="Arial" w:eastAsia="Arial" w:hAnsi="Arial"/>
        </w:rPr>
        <w:t xml:space="preserve"> A checklist based on it can be added once the framework is received.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and Checklist 3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2026-09-24T20:26:08.245Z</dcterms:created>
  <dcterms:modified xsi:type="dcterms:W3CDTF">2026-09-24T20:26:08.247Z</dcterms:modified>
</cp:coreProperties>
</file>

<file path=docProps/custom.xml><?xml version="1.0" encoding="utf-8"?>
<Properties xmlns="http://schemas.openxmlformats.org/officeDocument/2006/custom-properties" xmlns:vt="http://schemas.openxmlformats.org/officeDocument/2006/docPropsVTypes"/>
</file>