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10:</w:t>
      </w:r>
      <w:r>
        <w:rPr>
          <w:rFonts w:ascii="Arial" w:cs="Arial" w:eastAsia="Arial" w:hAnsi="Arial"/>
        </w:rPr>
        <w:t xml:space="preserve"> communicative translation, the “middle way” between literal and free translation, with two examples of public notices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explicitation and implicitation, with three English–Arabic examples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17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18 and 19);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17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The handbook does not name individual contributors; the acknowledgement thanks every team member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which suggests these are Loulwah’s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(a PDF of 59.5 MB):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the 182 course book, the 386 texts and the Analysis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cited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w:t>
            </w:r>
            <w:r>
              <w:rPr>
                <w:rFonts w:ascii="Arial" w:cs="Arial" w:eastAsia="Arial" w:hAnsi="Arial"/>
                <w:sz w:val="19"/>
                <w:szCs w:val="19"/>
              </w:rPr>
              <w:t xml:space="preserve"> (attributed to Dr Yusuf)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text and author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her audiovisual notes appear to be the AVT notes used in Chapters 26 and 27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10, 13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verified (no source found);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publisher corrected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13, and the examples in Chapters 10 and 13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original sources of the draft’s own examples and of its numbered exercises (16, 24–29). If any come from a published book (for example the 180 or 182 textbooks), that book must be credited.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17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10, 13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Credit the team members’ contributions: the Teams chat shows that Samiuallah and Masooma selected the terminology material, and that the audiovisual notes appear to be Loulwah’s. The handbook currently thanks all team members without names.</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not received: Dr Abdullah’s framework, the text </w:t>
      </w:r>
      <w:r>
        <w:rPr>
          <w:rFonts w:ascii="Arial" w:cs="Arial" w:hAnsi="Arial"/>
          <w:szCs w:val="23"/>
          <w:rtl/>
        </w:rPr>
        <w:t xml:space="preserve">الترجمة: ماهيتها</w:t>
      </w:r>
      <w:r>
        <w:rPr>
          <w:rFonts w:ascii="Arial" w:cs="Arial" w:eastAsia="Arial" w:hAnsi="Arial"/>
          <w:color w:val="C00000"/>
        </w:rPr>
        <w:t xml:space="preserve"> and its author, the 180, 182, 386 and Analysis texts, Loulwah’s notes on machine translation and dictionaries, and the Principles of Translation notes.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2026-09-25T20:05:06.860Z</dcterms:created>
  <dcterms:modified xsi:type="dcterms:W3CDTF">2026-09-25T20:05:06.861Z</dcterms:modified>
</cp:coreProperties>
</file>

<file path=docProps/custom.xml><?xml version="1.0" encoding="utf-8"?>
<Properties xmlns="http://schemas.openxmlformats.org/officeDocument/2006/custom-properties" xmlns:vt="http://schemas.openxmlformats.org/officeDocument/2006/docPropsVTypes"/>
</file>