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Georgia" w:cs="Georgia" w:eastAsia="Georgia" w:hAnsi="Georgia"/>
          <w:b/>
          <w:bCs/>
          <w:color w:val="3D1591"/>
          <w:sz w:val="72"/>
          <w:szCs w:val="72"/>
        </w:rPr>
        <w:t xml:space="preserve">Guild </w:t>
      </w:r>
      <w:r>
        <w:rPr>
          <w:rFonts w:ascii="Arial" w:cs="Arial" w:eastAsia="Arial" w:hAnsi="Arial"/>
          <w:color w:val="8756C0"/>
          <w:sz w:val="42"/>
          <w:szCs w:val="42"/>
        </w:rPr>
        <w:t xml:space="preserve">●</w:t>
      </w:r>
      <w:r>
        <w:rPr>
          <w:rFonts w:ascii="Arial" w:cs="Arial" w:eastAsia="Arial" w:hAnsi="Arial"/>
          <w:color w:val="867EF6"/>
          <w:sz w:val="42"/>
          <w:szCs w:val="42"/>
        </w:rPr>
        <w:t xml:space="preserve">●</w:t>
      </w:r>
      <w:r>
        <w:rPr>
          <w:rFonts w:ascii="Arial" w:cs="Arial" w:eastAsia="Arial" w:hAnsi="Arial"/>
          <w:color w:val="CCCDFB"/>
          <w:sz w:val="42"/>
          <w:szCs w:val="42"/>
        </w:rPr>
        <w:t xml:space="preserve">●</w:t>
      </w:r>
    </w:p>
    <w:p>
      <w:pPr>
        <w:spacing w:after="40"/>
        <w:jc w:val="center"/>
      </w:pPr>
      <w:r>
        <w:rPr>
          <w:rFonts w:ascii="Georgia" w:cs="Georgia" w:eastAsia="Georgia" w:hAnsi="Georgia"/>
          <w:b/>
          <w:bCs/>
          <w:color w:val="3D1591"/>
          <w:sz w:val="28"/>
          <w:szCs w:val="28"/>
        </w:rPr>
        <w:t xml:space="preserve">Translation Team</w:t>
      </w:r>
    </w:p>
    <w:p>
      <w:pPr>
        <w:spacing w:after="0"/>
        <w:jc w:val="center"/>
      </w:pPr>
      <w:r>
        <w:rPr>
          <w:rFonts w:ascii="Calibri" w:cs="Calibri" w:eastAsia="Calibri" w:hAnsi="Calibri"/>
          <w:color w:val="6B6680"/>
          <w:spacing w:val="60"/>
          <w:sz w:val="16"/>
          <w:szCs w:val="16"/>
        </w:rPr>
        <w:t xml:space="preserve">Professional Club</w:t>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[Copyright holder to be confirmed].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Editors: [names]. Contributors: [names]. Reviewed by: [names and titles].</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 [Confirm after review, and follow the publisher’s and the university’s policy.]</w:t>
      </w:r>
    </w:p>
    <w:p>
      <w:pPr>
        <w:spacing w:after="140" w:line="270"/>
      </w:pPr>
      <w:r>
        <w:rPr>
          <w:rFonts w:ascii="Calibri" w:cs="Calibri" w:eastAsia="Calibri" w:hAnsi="Calibri"/>
          <w:color w:val="6B6680"/>
          <w:sz w:val="18"/>
          <w:szCs w:val="18"/>
        </w:rPr>
        <w:t xml:space="preserve">ISBN: [if required].</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[To be completed by the Translation Team: thanks to the supervisor, to Dr Amin, and to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language and ideology.</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When people use the same language, communication is </w:t>
      </w:r>
      <w:r>
        <w:rPr>
          <w:rFonts w:ascii="Calibri" w:cs="Calibri" w:eastAsia="Calibri" w:hAnsi="Calibri"/>
          <w:b/>
          <w:bCs/>
        </w:rPr>
        <w:t xml:space="preserve">intralingual</w:t>
      </w:r>
      <w:r>
        <w:rPr>
          <w:rFonts w:ascii="Calibri" w:cs="Calibri" w:eastAsia="Calibri" w:hAnsi="Calibri"/>
        </w:rPr>
        <w:t xml:space="preserve">; when it takes place between two languages, it is </w:t>
      </w:r>
      <w:r>
        <w:rPr>
          <w:rFonts w:ascii="Calibri" w:cs="Calibri" w:eastAsia="Calibri" w:hAnsi="Calibri"/>
          <w:b/>
          <w:bCs/>
        </w:rPr>
        <w:t xml:space="preserve">interlingual</w:t>
      </w:r>
      <w:r>
        <w:rPr>
          <w:rFonts w:ascii="Calibri" w:cs="Calibri" w:eastAsia="Calibri" w:hAnsi="Calibri"/>
        </w:rPr>
        <w:t xml:space="preserve">, and translation belongs here (Jakobson, 1959). Every act of communication has a sender, a message, a channel (written or spoken), a receiver, and sometimes “noise”, meaning anything that disturbs the message (Shannon &amp; Weaver, 1949). The translator is both a receiver of the original and the sender of the translation.</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For an overview of these types and of the field of Translation Studies, see Munday (2016). 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pStyle w:val="ListParagraph"/>
        <w:numPr>
          <w:ilvl w:val="0"/>
          <w:numId w:val="2"/>
        </w:numPr>
        <w:shd w:fill="ECE9F7" w:color="auto" w:val="clear"/>
        <w:spacing w:after="0" w:line="29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0" w:line="29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An old question</w:t>
      </w:r>
    </w:p>
    <w:p>
      <w:pPr>
        <w:spacing w:after="120" w:line="290"/>
      </w:pPr>
      <w:r>
        <w:rPr>
          <w:rFonts w:ascii="Calibri" w:cs="Calibri" w:eastAsia="Calibri" w:hAnsi="Calibri"/>
        </w:rPr>
        <w:t xml:space="preserve">Translators have asked “words or meaning?” for centuries. St Jerome, who translated the Bible into Latin, wrote that he translated “not word for word but sense for sense” (Jerome, 395/2012). In the fourteenth century, al-Ṣafadī described two methods of the Abbasid translators. Some, such as Yūḥannā ibn al-Biṭrīq, translated word by word. Others, such as Ḥunayn ibn Isḥāq, translated the meaning of the whole sentence. Al-Ṣafadī judged the second method better (Baker &amp; Hanna, 2009).</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pStyle w:val="ListParagraph"/>
        <w:numPr>
          <w:ilvl w:val="0"/>
          <w:numId w:val="2"/>
        </w:numPr>
        <w:shd w:fill="ECE9F7" w:color="auto" w:val="clear"/>
        <w:spacing w:after="0" w:line="29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Mona Baker (2018) describes further strategies for problems of non-equivalence, and Dickins et al. (2016) discuss compensation:</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(Venuti, 1995).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Schleiermacher (1813/2012) described the same choice: move the reader towards the author, or the author towards the reader.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pStyle w:val="ListParagraph"/>
        <w:numPr>
          <w:ilvl w:val="0"/>
          <w:numId w:val="2"/>
        </w:numPr>
        <w:shd w:fill="ECE9F7" w:color="auto" w:val="clear"/>
        <w:spacing w:after="0" w:line="29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w:t>
      </w:r>
    </w:p>
    <w:p>
      <w:pPr>
        <w:pStyle w:val="ListParagraph"/>
        <w:numPr>
          <w:ilvl w:val="0"/>
          <w:numId w:val="2"/>
        </w:numPr>
        <w:shd w:fill="ECE9F7" w:color="auto" w:val="clear"/>
        <w:spacing w:after="0" w:line="29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language can carry ideology.</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Language and ideology: Fairclough’s relational model</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inform: through their choice of words, they show a point of view. This chapter, the most advanced in Part 6, explains ideology and introduces Norman Fairclough’s model for analysing it.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w:t>
      </w:r>
    </w:p>
    <w:p>
      <w:pPr>
        <w:pStyle w:val="ListParagraph"/>
        <w:numPr>
          <w:ilvl w:val="0"/>
          <w:numId w:val="2"/>
        </w:numPr>
        <w:shd w:fill="ECE9F7" w:color="auto" w:val="clear"/>
        <w:spacing w:after="0" w:line="29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w:t>
      </w:r>
    </w:p>
    <w:p>
      <w:pPr>
        <w:pStyle w:val="ListParagraph"/>
        <w:numPr>
          <w:ilvl w:val="0"/>
          <w:numId w:val="2"/>
        </w:numPr>
        <w:shd w:fill="ECE9F7" w:color="auto" w:val="clear"/>
        <w:spacing w:after="0" w:line="29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words that show different points of view, and a translation can keep, soften or strengthen them. Clients have their own ideology and policy (Chapter 1), and the translator must follow them and explain sensitive choices in the commentary.</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Depending on the client’s policy,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Fairclough’s model</w:t>
      </w:r>
    </w:p>
    <w:p>
      <w:pPr>
        <w:spacing w:after="120" w:line="290"/>
      </w:pPr>
      <w:r>
        <w:rPr>
          <w:rFonts w:ascii="Calibri" w:cs="Calibri" w:eastAsia="Calibri" w:hAnsi="Calibri"/>
        </w:rPr>
        <w:t xml:space="preserve">Norman Fairclough treats language use as a form of social practice (Fairclough, 1992). He calls his approach </w:t>
      </w:r>
      <w:r>
        <w:rPr>
          <w:rFonts w:ascii="Calibri" w:cs="Calibri" w:eastAsia="Calibri" w:hAnsi="Calibri"/>
          <w:b/>
          <w:bCs/>
        </w:rPr>
        <w:t xml:space="preserve">relational</w:t>
      </w:r>
      <w:r>
        <w:rPr>
          <w:rFonts w:ascii="Calibri" w:cs="Calibri" w:eastAsia="Calibri" w:hAnsi="Calibri"/>
        </w:rPr>
        <w:t xml:space="preserve"> because it studies the relations between language and the other parts of social life, such as power and institutions (Fairclough, 2010). For a translator, the model gives three connected levels of questions (Fairclough, 1989, 1992):</w:t>
      </w:r>
    </w:p>
    <w:p>
      <w:pPr>
        <w:pStyle w:val="ListParagraph"/>
        <w:numPr>
          <w:ilvl w:val="0"/>
          <w:numId w:val="51"/>
        </w:numPr>
        <w:spacing w:after="70" w:line="290"/>
      </w:pPr>
      <w:r>
        <w:rPr>
          <w:rFonts w:ascii="Calibri" w:cs="Calibri" w:eastAsia="Calibri" w:hAnsi="Calibri"/>
          <w:b/>
          <w:bCs/>
        </w:rPr>
        <w:t xml:space="preserve">The text</w:t>
      </w:r>
      <w:r>
        <w:rPr>
          <w:rFonts w:ascii="Calibri" w:cs="Calibri" w:eastAsia="Calibri" w:hAnsi="Calibri"/>
        </w:rPr>
        <w:t xml:space="preserve">: which words show judgement? Who is shown doing what, and who is hidden?</w:t>
      </w:r>
    </w:p>
    <w:p>
      <w:pPr>
        <w:pStyle w:val="ListParagraph"/>
        <w:numPr>
          <w:ilvl w:val="0"/>
          <w:numId w:val="51"/>
        </w:numPr>
        <w:spacing w:after="70" w:line="290"/>
      </w:pPr>
      <w:r>
        <w:rPr>
          <w:rFonts w:ascii="Calibri" w:cs="Calibri" w:eastAsia="Calibri" w:hAnsi="Calibri"/>
          <w:b/>
          <w:bCs/>
        </w:rPr>
        <w:t xml:space="preserve">Its production</w:t>
      </w:r>
      <w:r>
        <w:rPr>
          <w:rFonts w:ascii="Calibri" w:cs="Calibri" w:eastAsia="Calibri" w:hAnsi="Calibri"/>
        </w:rPr>
        <w:t xml:space="preserve">: who wrote it, for which newspaper or organisation, and for which readers?</w:t>
      </w:r>
    </w:p>
    <w:p>
      <w:pPr>
        <w:pStyle w:val="ListParagraph"/>
        <w:numPr>
          <w:ilvl w:val="0"/>
          <w:numId w:val="51"/>
        </w:numPr>
        <w:spacing w:after="70" w:line="290"/>
      </w:pPr>
      <w:r>
        <w:rPr>
          <w:rFonts w:ascii="Calibri" w:cs="Calibri" w:eastAsia="Calibri" w:hAnsi="Calibri"/>
          <w:b/>
          <w:bCs/>
        </w:rPr>
        <w:t xml:space="preserve">Society</w:t>
      </w:r>
      <w:r>
        <w:rPr>
          <w:rFonts w:ascii="Calibri" w:cs="Calibri" w:eastAsia="Calibri" w:hAnsi="Calibri"/>
        </w:rPr>
        <w:t xml:space="preserve">: which relations of power does it reflect, and whose interests does it serve?</w:t>
      </w:r>
    </w:p>
    <w:p>
      <w:pPr>
        <w:spacing w:after="40"/>
      </w:pPr>
    </w:p>
    <w:p>
      <w:pPr>
        <w:spacing w:after="120" w:line="290"/>
      </w:pPr>
      <w:r>
        <w:rPr>
          <w:rFonts w:ascii="Calibri" w:cs="Calibri" w:eastAsia="Calibri" w:hAnsi="Calibri"/>
        </w:rPr>
        <w:t xml:space="preserve">A checklist based on this model is included in the Checklists section.</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an illegitimate or harsh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It became a modern field in the 1930s. Its founder is regarded as Eugen Wüster, whose doctoral thesis of 1931 began what is now called the Vienna School (Cabré, 1999).</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spacing w:after="120" w:line="290"/>
      </w:pPr>
      <w:r>
        <w:rPr>
          <w:rFonts w:ascii="Calibri" w:cs="Calibri" w:eastAsia="Calibri" w:hAnsi="Calibri"/>
          <w:b/>
          <w:bCs/>
        </w:rPr>
        <w:t xml:space="preserve">Borrowed terms</w:t>
      </w:r>
    </w:p>
    <w:p>
      <w:pPr>
        <w:pStyle w:val="ListParagraph"/>
        <w:numPr>
          <w:ilvl w:val="0"/>
          <w:numId w:val="2"/>
        </w:numPr>
        <w:spacing w:after="70" w:line="290"/>
      </w:pPr>
      <w:r>
        <w:rPr>
          <w:rFonts w:ascii="Calibri" w:cs="Calibri" w:eastAsia="Calibri" w:hAnsi="Calibri"/>
        </w:rPr>
        <w:t xml:space="preserve">From Greek or Latin: </w:t>
      </w:r>
      <w:r>
        <w:rPr>
          <w:rFonts w:ascii="Calibri" w:cs="Calibri" w:eastAsia="Calibri" w:hAnsi="Calibri"/>
          <w:i/>
          <w:iCs/>
        </w:rPr>
        <w:t xml:space="preserve">cranium</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From a modern language: </w:t>
      </w:r>
      <w:r>
        <w:rPr>
          <w:rFonts w:ascii="Calibri" w:cs="Calibri" w:eastAsia="Calibri" w:hAnsi="Calibri"/>
          <w:i/>
          <w:iCs/>
        </w:rPr>
        <w:t xml:space="preserve">internet</w:t>
      </w:r>
      <w:r>
        <w:rPr>
          <w:rFonts w:ascii="Calibri" w:cs="Calibri" w:eastAsia="Calibri" w:hAnsi="Calibri"/>
        </w:rPr>
        <w:t xml:space="preserve">. (English </w:t>
      </w:r>
      <w:r>
        <w:rPr>
          <w:rFonts w:ascii="Calibri" w:cs="Calibri" w:eastAsia="Calibri" w:hAnsi="Calibri"/>
          <w:i/>
          <w:iCs/>
        </w:rPr>
        <w:t xml:space="preserve">algebra</w:t>
      </w:r>
      <w:r>
        <w:rPr>
          <w:rFonts w:ascii="Calibri" w:cs="Calibri" w:eastAsia="Calibri" w:hAnsi="Calibri"/>
        </w:rPr>
        <w:t xml:space="preserve"> comes from Arabic </w:t>
      </w:r>
      <w:r>
        <w:rPr>
          <w:rFonts w:ascii="Arial" w:cs="Arial" w:hAnsi="Arial"/>
          <w:sz w:val="23"/>
          <w:szCs w:val="24"/>
          <w:rtl/>
        </w:rPr>
        <w:t xml:space="preserve">الجبر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From another field: </w:t>
      </w:r>
      <w:r>
        <w:rPr>
          <w:rFonts w:ascii="Calibri" w:cs="Calibri" w:eastAsia="Calibri" w:hAnsi="Calibri"/>
          <w:i/>
          <w:iCs/>
        </w:rPr>
        <w:t xml:space="preserve">application</w:t>
      </w:r>
      <w:r>
        <w:rPr>
          <w:rFonts w:ascii="Calibri" w:cs="Calibri" w:eastAsia="Calibri" w:hAnsi="Calibri"/>
        </w:rPr>
        <w:t xml:space="preserve">, a legal word now used in computing.</w:t>
      </w:r>
    </w:p>
    <w:p>
      <w:pPr>
        <w:spacing w:after="40"/>
      </w:pPr>
    </w:p>
    <w:p>
      <w:pPr>
        <w:pStyle w:val="Heading3"/>
      </w:pPr>
      <w:r>
        <w:t xml:space="preserve">What makes a good term?</w:t>
      </w:r>
    </w:p>
    <w:p>
      <w:pPr>
        <w:spacing w:after="120" w:line="290"/>
      </w:pPr>
      <w:r>
        <w:rPr>
          <w:rFonts w:ascii="Calibri" w:cs="Calibri" w:eastAsia="Calibri" w:hAnsi="Calibri"/>
        </w:rPr>
        <w:t xml:space="preserve">A good term follows a few simple rules, which reflect the international principles for terminology work (International Organization for Standardization [ISO], 2022):</w:t>
      </w:r>
    </w:p>
    <w:p>
      <w:pPr>
        <w:pStyle w:val="ListParagraph"/>
        <w:numPr>
          <w:ilvl w:val="0"/>
          <w:numId w:val="57"/>
        </w:numPr>
        <w:spacing w:after="70" w:line="290"/>
      </w:pPr>
      <w:r>
        <w:rPr>
          <w:rFonts w:ascii="Calibri" w:cs="Calibri" w:eastAsia="Calibri" w:hAnsi="Calibri"/>
        </w:rPr>
        <w:t xml:space="preserve">It expresses the concept clearly.</w:t>
      </w:r>
    </w:p>
    <w:p>
      <w:pPr>
        <w:pStyle w:val="ListParagraph"/>
        <w:numPr>
          <w:ilvl w:val="0"/>
          <w:numId w:val="57"/>
        </w:numPr>
        <w:spacing w:after="70" w:line="290"/>
      </w:pPr>
      <w:r>
        <w:rPr>
          <w:rFonts w:ascii="Calibri" w:cs="Calibri" w:eastAsia="Calibri" w:hAnsi="Calibri"/>
        </w:rPr>
        <w:t xml:space="preserve">It follows the normal rules for making words.</w:t>
      </w:r>
    </w:p>
    <w:p>
      <w:pPr>
        <w:pStyle w:val="ListParagraph"/>
        <w:numPr>
          <w:ilvl w:val="0"/>
          <w:numId w:val="57"/>
        </w:numPr>
        <w:spacing w:after="70" w:line="290"/>
      </w:pPr>
      <w:r>
        <w:rPr>
          <w:rFonts w:ascii="Calibri" w:cs="Calibri" w:eastAsia="Calibri" w:hAnsi="Calibri"/>
        </w:rPr>
        <w:t xml:space="preserve">It is short, with no unnecessary or repeated parts.</w:t>
      </w:r>
    </w:p>
    <w:p>
      <w:pPr>
        <w:pStyle w:val="ListParagraph"/>
        <w:numPr>
          <w:ilvl w:val="0"/>
          <w:numId w:val="57"/>
        </w:numPr>
        <w:spacing w:after="70" w:line="290"/>
      </w:pPr>
      <w:r>
        <w:rPr>
          <w:rFonts w:ascii="Calibri" w:cs="Calibri" w:eastAsia="Calibri" w:hAnsi="Calibri"/>
        </w:rPr>
        <w:t xml:space="preserve">It has only one spelling and only one meaning.</w:t>
      </w:r>
    </w:p>
    <w:p>
      <w:pPr>
        <w:pStyle w:val="ListParagraph"/>
        <w:numPr>
          <w:ilvl w:val="0"/>
          <w:numId w:val="57"/>
        </w:numPr>
        <w:spacing w:after="70" w:line="290"/>
      </w:pPr>
      <w:r>
        <w:rPr>
          <w:rFonts w:ascii="Calibri" w:cs="Calibri" w:eastAsia="Calibri" w:hAnsi="Calibri"/>
        </w:rPr>
        <w:t xml:space="preserve">It is clear without context.</w:t>
      </w:r>
    </w:p>
    <w:p>
      <w:pPr>
        <w:spacing w:after="40"/>
      </w:pP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create and approve Arabic terms. According to the team’s terminology chapter (Translation Team, n.d.):</w:t>
      </w:r>
    </w:p>
    <w:p>
      <w:pPr>
        <w:pStyle w:val="ListParagraph"/>
        <w:numPr>
          <w:ilvl w:val="0"/>
          <w:numId w:val="2"/>
        </w:numPr>
        <w:spacing w:after="70" w:line="290"/>
      </w:pPr>
      <w:r>
        <w:rPr>
          <w:rFonts w:ascii="Calibri" w:cs="Calibri" w:eastAsia="Calibri" w:hAnsi="Calibri"/>
          <w:b/>
          <w:bCs/>
        </w:rPr>
        <w:t xml:space="preserve">Cairo</w:t>
      </w:r>
      <w:r>
        <w:rPr>
          <w:rFonts w:ascii="Calibri" w:cs="Calibri" w:eastAsia="Calibri" w:hAnsi="Calibri"/>
        </w:rPr>
        <w:t xml:space="preserve">: committees study each proposed term, write an Arabic equivalent and a definition, and publish it. Scholars then have one year to object before the term is accepted.</w:t>
      </w:r>
    </w:p>
    <w:p>
      <w:pPr>
        <w:pStyle w:val="ListParagraph"/>
        <w:numPr>
          <w:ilvl w:val="0"/>
          <w:numId w:val="2"/>
        </w:numPr>
        <w:spacing w:after="70" w:line="290"/>
      </w:pPr>
      <w:r>
        <w:rPr>
          <w:rFonts w:ascii="Calibri" w:cs="Calibri" w:eastAsia="Calibri" w:hAnsi="Calibri"/>
          <w:b/>
          <w:bCs/>
        </w:rPr>
        <w:t xml:space="preserve">Baghdad</w:t>
      </w:r>
      <w:r>
        <w:rPr>
          <w:rFonts w:ascii="Calibri" w:cs="Calibri" w:eastAsia="Calibri" w:hAnsi="Calibri"/>
        </w:rPr>
        <w:t xml:space="preserve">: specialists consult classical Arabic scientific texts and prefer Arabic-sounding terms to borrowed ones.</w:t>
      </w:r>
    </w:p>
    <w:p>
      <w:pPr>
        <w:pStyle w:val="ListParagraph"/>
        <w:numPr>
          <w:ilvl w:val="0"/>
          <w:numId w:val="2"/>
        </w:numPr>
        <w:spacing w:after="70" w:line="290"/>
      </w:pPr>
      <w:r>
        <w:rPr>
          <w:rFonts w:ascii="Calibri" w:cs="Calibri" w:eastAsia="Calibri" w:hAnsi="Calibri"/>
          <w:b/>
          <w:bCs/>
        </w:rPr>
        <w:t xml:space="preserve">Amman</w:t>
      </w:r>
      <w:r>
        <w:rPr>
          <w:rFonts w:ascii="Calibri" w:cs="Calibri" w:eastAsia="Calibri" w:hAnsi="Calibri"/>
        </w:rPr>
        <w:t xml:space="preserve">: the Arabic term must reflect the function of the foreign term. Widely used foreign terms may be kept.</w:t>
      </w:r>
    </w:p>
    <w:p>
      <w:pPr>
        <w:spacing w:after="40"/>
      </w:pPr>
    </w:p>
    <w:p>
      <w:pPr>
        <w:pStyle w:val="Heading3"/>
      </w:pPr>
      <w:r>
        <w:t xml:space="preserve">How to translate a term</w:t>
      </w:r>
    </w:p>
    <w:p>
      <w:pPr>
        <w:pStyle w:val="ListParagraph"/>
        <w:numPr>
          <w:ilvl w:val="0"/>
          <w:numId w:val="58"/>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8"/>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8"/>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8"/>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Who sets the standards?</w:t>
      </w:r>
    </w:p>
    <w:p>
      <w:pPr>
        <w:spacing w:after="120" w:line="290"/>
      </w:pPr>
      <w:r>
        <w:rPr>
          <w:rFonts w:ascii="Calibri" w:cs="Calibri" w:eastAsia="Calibri" w:hAnsi="Calibri"/>
        </w:rPr>
        <w:t xml:space="preserve">International bodies publish official terms and standards. The International Organization for Standardization (ISO) was founded in 1947 and is based in Geneva. The IEC deals with electrical terms, and the ITU with telecommunications. Official terms are called </w:t>
      </w:r>
      <w:r>
        <w:rPr>
          <w:rFonts w:ascii="Calibri" w:cs="Calibri" w:eastAsia="Calibri" w:hAnsi="Calibri"/>
          <w:b/>
          <w:bCs/>
        </w:rPr>
        <w:t xml:space="preserve">de jure</w:t>
      </w:r>
      <w:r>
        <w:rPr>
          <w:rFonts w:ascii="Calibri" w:cs="Calibri" w:eastAsia="Calibri" w:hAnsi="Calibri"/>
        </w:rPr>
        <w:t xml:space="preserve"> standards. Terms that become standard just because everyone uses them, such as </w:t>
      </w:r>
      <w:r>
        <w:rPr>
          <w:rFonts w:ascii="Calibri" w:cs="Calibri" w:eastAsia="Calibri" w:hAnsi="Calibri"/>
          <w:i/>
          <w:iCs/>
        </w:rPr>
        <w:t xml:space="preserve">smartphone</w:t>
      </w:r>
      <w:r>
        <w:rPr>
          <w:rFonts w:ascii="Calibri" w:cs="Calibri" w:eastAsia="Calibri" w:hAnsi="Calibri"/>
        </w:rPr>
        <w:t xml:space="preserve">, are </w:t>
      </w:r>
      <w:r>
        <w:rPr>
          <w:rFonts w:ascii="Calibri" w:cs="Calibri" w:eastAsia="Calibri" w:hAnsi="Calibri"/>
          <w:b/>
          <w:bCs/>
        </w:rPr>
        <w:t xml:space="preserve">de facto</w:t>
      </w:r>
      <w:r>
        <w:rPr>
          <w:rFonts w:ascii="Calibri" w:cs="Calibri" w:eastAsia="Calibri" w:hAnsi="Calibri"/>
        </w:rPr>
        <w:t xml:space="preserve"> standards.</w:t>
      </w: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9"/>
        </w:numPr>
        <w:spacing w:after="70" w:line="290"/>
      </w:pPr>
      <w:r>
        <w:rPr>
          <w:rFonts w:ascii="Calibri" w:cs="Calibri" w:eastAsia="Calibri" w:hAnsi="Calibri"/>
        </w:rPr>
        <w:t xml:space="preserve">What is the difference between a translator and a terminologist?</w:t>
      </w:r>
    </w:p>
    <w:p>
      <w:pPr>
        <w:pStyle w:val="ListParagraph"/>
        <w:numPr>
          <w:ilvl w:val="0"/>
          <w:numId w:val="59"/>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60"/>
        </w:numPr>
        <w:spacing w:after="70" w:line="290"/>
      </w:pPr>
      <w:r>
        <w:rPr>
          <w:rFonts w:ascii="Calibri" w:cs="Calibri" w:eastAsia="Calibri" w:hAnsi="Calibri"/>
          <w:color w:val="6B6680"/>
        </w:rPr>
        <w:t xml:space="preserve">An acronym: the letters are read as a word.</w:t>
      </w:r>
    </w:p>
    <w:p>
      <w:pPr>
        <w:pStyle w:val="ListParagraph"/>
        <w:numPr>
          <w:ilvl w:val="0"/>
          <w:numId w:val="60"/>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1"/>
        </w:numPr>
        <w:spacing w:after="70" w:line="290"/>
      </w:pPr>
      <w:r>
        <w:rPr>
          <w:rFonts w:ascii="Calibri" w:cs="Calibri" w:eastAsia="Calibri" w:hAnsi="Calibri"/>
        </w:rPr>
        <w:t xml:space="preserve">You are responsible for every word.</w:t>
      </w:r>
    </w:p>
    <w:p>
      <w:pPr>
        <w:pStyle w:val="ListParagraph"/>
        <w:numPr>
          <w:ilvl w:val="0"/>
          <w:numId w:val="61"/>
        </w:numPr>
        <w:spacing w:after="70" w:line="290"/>
      </w:pPr>
      <w:r>
        <w:rPr>
          <w:rFonts w:ascii="Calibri" w:cs="Calibri" w:eastAsia="Calibri" w:hAnsi="Calibri"/>
        </w:rPr>
        <w:t xml:space="preserve">Never put a client’s private text into a public AI tool.</w:t>
      </w:r>
    </w:p>
    <w:p>
      <w:pPr>
        <w:pStyle w:val="ListParagraph"/>
        <w:numPr>
          <w:ilvl w:val="0"/>
          <w:numId w:val="61"/>
        </w:numPr>
        <w:spacing w:after="70" w:line="290"/>
      </w:pPr>
      <w:r>
        <w:rPr>
          <w:rFonts w:ascii="Calibri" w:cs="Calibri" w:eastAsia="Calibri" w:hAnsi="Calibri"/>
        </w:rPr>
        <w:t xml:space="preserve">Check terms, names, numbers, idioms and every “not”.</w:t>
      </w:r>
    </w:p>
    <w:p>
      <w:pPr>
        <w:pStyle w:val="ListParagraph"/>
        <w:numPr>
          <w:ilvl w:val="0"/>
          <w:numId w:val="61"/>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70" w:line="290"/>
      </w:pPr>
      <w:r>
        <w:rPr>
          <w:rFonts w:ascii="Calibri" w:cs="Calibri" w:eastAsia="Calibri" w:hAnsi="Calibri"/>
        </w:rPr>
        <w:t xml:space="preserve">May you paste a client’s confidential contract into a free AI tool?</w:t>
      </w:r>
    </w:p>
    <w:p>
      <w:pPr>
        <w:pStyle w:val="ListParagraph"/>
        <w:numPr>
          <w:ilvl w:val="0"/>
          <w:numId w:val="62"/>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70" w:line="290"/>
      </w:pPr>
      <w:r>
        <w:rPr>
          <w:rFonts w:ascii="Calibri" w:cs="Calibri" w:eastAsia="Calibri" w:hAnsi="Calibri"/>
          <w:color w:val="6B6680"/>
        </w:rPr>
        <w:t xml:space="preserve">No, never.</w:t>
      </w:r>
    </w:p>
    <w:p>
      <w:pPr>
        <w:pStyle w:val="ListParagraph"/>
        <w:numPr>
          <w:ilvl w:val="0"/>
          <w:numId w:val="63"/>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4"/>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5"/>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70" w:line="290"/>
      </w:pPr>
      <w:r>
        <w:rPr>
          <w:rFonts w:ascii="Arial" w:cs="Arial" w:hAnsi="Arial"/>
          <w:color w:val="6B6680"/>
          <w:sz w:val="23"/>
          <w:szCs w:val="24"/>
          <w:rtl/>
        </w:rPr>
        <w:t xml:space="preserve">وقّع المديرُ العقد.</w:t>
      </w:r>
    </w:p>
    <w:p>
      <w:pPr>
        <w:pStyle w:val="ListParagraph"/>
        <w:numPr>
          <w:ilvl w:val="0"/>
          <w:numId w:val="66"/>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7"/>
        </w:numPr>
        <w:spacing w:after="70" w:line="290"/>
      </w:pPr>
      <w:r>
        <w:rPr>
          <w:rFonts w:ascii="Calibri" w:cs="Calibri" w:eastAsia="Calibri" w:hAnsi="Calibri"/>
        </w:rPr>
        <w:t xml:space="preserve">Give the most time to the high-risk areas.</w:t>
      </w:r>
    </w:p>
    <w:p>
      <w:pPr>
        <w:pStyle w:val="ListParagraph"/>
        <w:numPr>
          <w:ilvl w:val="0"/>
          <w:numId w:val="67"/>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70" w:line="290"/>
      </w:pPr>
      <w:r>
        <w:rPr>
          <w:rFonts w:ascii="Calibri" w:cs="Calibri" w:eastAsia="Calibri" w:hAnsi="Calibri"/>
          <w:color w:val="6B6680"/>
        </w:rPr>
        <w:t xml:space="preserve">The dose: the numbers must be exactly right.</w:t>
      </w:r>
    </w:p>
    <w:p>
      <w:pPr>
        <w:pStyle w:val="ListParagraph"/>
        <w:numPr>
          <w:ilvl w:val="0"/>
          <w:numId w:val="69"/>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70"/>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70"/>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some useful theories,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words with pictures and sound, one culture with another, and speech with writing (Gambier, 2003).</w:t>
      </w:r>
    </w:p>
    <w:p>
      <w:pPr>
        <w:spacing w:after="40"/>
      </w:pPr>
    </w:p>
    <w:p>
      <w:pPr>
        <w:pStyle w:val="Heading3"/>
      </w:pPr>
      <w:r>
        <w:t xml:space="preserve">The name of the field</w:t>
      </w:r>
    </w:p>
    <w:p>
      <w:pPr>
        <w:spacing w:after="120" w:line="290"/>
      </w:pPr>
      <w:r>
        <w:rPr>
          <w:rFonts w:ascii="Calibri" w:cs="Calibri" w:eastAsia="Calibri" w:hAnsi="Calibri"/>
        </w:rPr>
        <w:t xml:space="preserve">The field has had several names: </w:t>
      </w:r>
      <w:r>
        <w:rPr>
          <w:rFonts w:ascii="Calibri" w:cs="Calibri" w:eastAsia="Calibri" w:hAnsi="Calibri"/>
          <w:i/>
          <w:iCs/>
        </w:rPr>
        <w:t xml:space="preserve">film translation</w:t>
      </w:r>
      <w:r>
        <w:rPr>
          <w:rFonts w:ascii="Calibri" w:cs="Calibri" w:eastAsia="Calibri" w:hAnsi="Calibri"/>
        </w:rPr>
        <w:t xml:space="preserve">, </w:t>
      </w:r>
      <w:r>
        <w:rPr>
          <w:rFonts w:ascii="Calibri" w:cs="Calibri" w:eastAsia="Calibri" w:hAnsi="Calibri"/>
          <w:i/>
          <w:iCs/>
        </w:rPr>
        <w:t xml:space="preserve">language transfer</w:t>
      </w:r>
      <w:r>
        <w:rPr>
          <w:rFonts w:ascii="Calibri" w:cs="Calibri" w:eastAsia="Calibri" w:hAnsi="Calibri"/>
        </w:rPr>
        <w:t xml:space="preserve">, </w:t>
      </w:r>
      <w:r>
        <w:rPr>
          <w:rFonts w:ascii="Calibri" w:cs="Calibri" w:eastAsia="Calibri" w:hAnsi="Calibri"/>
          <w:i/>
          <w:iCs/>
        </w:rPr>
        <w:t xml:space="preserve">screen translation</w:t>
      </w:r>
      <w:r>
        <w:rPr>
          <w:rFonts w:ascii="Calibri" w:cs="Calibri" w:eastAsia="Calibri" w:hAnsi="Calibri"/>
        </w:rPr>
        <w:t xml:space="preserve"> (thought too narrow by some; O’Hagan, 2007) and </w:t>
      </w:r>
      <w:r>
        <w:rPr>
          <w:rFonts w:ascii="Calibri" w:cs="Calibri" w:eastAsia="Calibri" w:hAnsi="Calibri"/>
          <w:i/>
          <w:iCs/>
        </w:rPr>
        <w:t xml:space="preserve">multimedia translation</w:t>
      </w:r>
      <w:r>
        <w:rPr>
          <w:rFonts w:ascii="Calibri" w:cs="Calibri" w:eastAsia="Calibri" w:hAnsi="Calibri"/>
        </w:rPr>
        <w:t xml:space="preserve">. Today it is usually called </w:t>
      </w:r>
      <w:r>
        <w:rPr>
          <w:rFonts w:ascii="Calibri" w:cs="Calibri" w:eastAsia="Calibri" w:hAnsi="Calibri"/>
          <w:b/>
          <w:bCs/>
        </w:rPr>
        <w:t xml:space="preserve">audiovisual translation (AVT)</w:t>
      </w:r>
      <w:r>
        <w:rPr>
          <w:rFonts w:ascii="Calibri" w:cs="Calibri" w:eastAsia="Calibri" w:hAnsi="Calibri"/>
        </w:rPr>
        <w:t xml:space="preserve">. Some scholars call it adaptation rather than translation, because time and space limits shape the result.</w:t>
      </w: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Four useful theories</w:t>
      </w:r>
    </w:p>
    <w:p>
      <w:pPr>
        <w:pStyle w:val="ListParagraph"/>
        <w:numPr>
          <w:ilvl w:val="0"/>
          <w:numId w:val="74"/>
        </w:numPr>
        <w:spacing w:after="70" w:line="290"/>
      </w:pPr>
      <w:r>
        <w:rPr>
          <w:rFonts w:ascii="Calibri" w:cs="Calibri" w:eastAsia="Calibri" w:hAnsi="Calibri"/>
          <w:b/>
          <w:bCs/>
        </w:rPr>
        <w:t xml:space="preserve">Skopos theory</w:t>
      </w:r>
      <w:r>
        <w:rPr>
          <w:rFonts w:ascii="Calibri" w:cs="Calibri" w:eastAsia="Calibri" w:hAnsi="Calibri"/>
        </w:rPr>
        <w:t xml:space="preserve"> (Reiss &amp; Vermeer, 1984): the purpose of the translation comes first. Ask what the client wants and what the viewers need. Like Nida’s dynamic equivalence, it aims at the effect on the audience (Nida, 1964).</w:t>
      </w:r>
    </w:p>
    <w:p>
      <w:pPr>
        <w:pStyle w:val="ListParagraph"/>
        <w:numPr>
          <w:ilvl w:val="0"/>
          <w:numId w:val="74"/>
        </w:numPr>
        <w:spacing w:after="70" w:line="290"/>
      </w:pPr>
      <w:r>
        <w:rPr>
          <w:rFonts w:ascii="Calibri" w:cs="Calibri" w:eastAsia="Calibri" w:hAnsi="Calibri"/>
          <w:b/>
          <w:bCs/>
        </w:rPr>
        <w:t xml:space="preserve">Descriptive Translation Studies</w:t>
      </w:r>
      <w:r>
        <w:rPr>
          <w:rFonts w:ascii="Calibri" w:cs="Calibri" w:eastAsia="Calibri" w:hAnsi="Calibri"/>
        </w:rPr>
        <w:t xml:space="preserve"> (Toury, 1995): study how translators really translate, and why. For example, compare how English jokes are subtitled into Arabic.</w:t>
      </w:r>
    </w:p>
    <w:p>
      <w:pPr>
        <w:pStyle w:val="ListParagraph"/>
        <w:numPr>
          <w:ilvl w:val="0"/>
          <w:numId w:val="74"/>
        </w:numPr>
        <w:spacing w:after="70" w:line="290"/>
      </w:pPr>
      <w:r>
        <w:rPr>
          <w:rFonts w:ascii="Calibri" w:cs="Calibri" w:eastAsia="Calibri" w:hAnsi="Calibri"/>
          <w:b/>
          <w:bCs/>
        </w:rPr>
        <w:t xml:space="preserve">Reception studies</w:t>
      </w:r>
      <w:r>
        <w:rPr>
          <w:rFonts w:ascii="Calibri" w:cs="Calibri" w:eastAsia="Calibri" w:hAnsi="Calibri"/>
        </w:rPr>
        <w:t xml:space="preserve">: ask viewers how they understand and feel about a translation, for example through surveys.</w:t>
      </w:r>
    </w:p>
    <w:p>
      <w:pPr>
        <w:pStyle w:val="ListParagraph"/>
        <w:numPr>
          <w:ilvl w:val="0"/>
          <w:numId w:val="74"/>
        </w:numPr>
        <w:spacing w:after="70" w:line="290"/>
      </w:pPr>
      <w:r>
        <w:rPr>
          <w:rFonts w:ascii="Calibri" w:cs="Calibri" w:eastAsia="Calibri" w:hAnsi="Calibri"/>
          <w:b/>
          <w:bCs/>
        </w:rPr>
        <w:t xml:space="preserve">Polysystem theory</w:t>
      </w:r>
      <w:r>
        <w:rPr>
          <w:rFonts w:ascii="Calibri" w:cs="Calibri" w:eastAsia="Calibri" w:hAnsi="Calibri"/>
        </w:rPr>
        <w:t xml:space="preserve"> (Even-Zohar, 1990): see translation as part of a culture. Translated films and books can change the culture that receives them.</w:t>
      </w:r>
    </w:p>
    <w:p>
      <w:pPr>
        <w:spacing w:after="40"/>
      </w:pP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5"/>
        </w:numPr>
        <w:spacing w:after="70" w:line="290"/>
      </w:pPr>
      <w:r>
        <w:rPr>
          <w:rFonts w:ascii="Calibri" w:cs="Calibri" w:eastAsia="Calibri" w:hAnsi="Calibri"/>
        </w:rPr>
        <w:t xml:space="preserve">What are the three elements of an audiovisual text?</w:t>
      </w:r>
    </w:p>
    <w:p>
      <w:pPr>
        <w:pStyle w:val="ListParagraph"/>
        <w:numPr>
          <w:ilvl w:val="0"/>
          <w:numId w:val="75"/>
        </w:numPr>
        <w:spacing w:after="70" w:line="290"/>
      </w:pPr>
      <w:r>
        <w:rPr>
          <w:rFonts w:ascii="Calibri" w:cs="Calibri" w:eastAsia="Calibri" w:hAnsi="Calibri"/>
        </w:rPr>
        <w:t xml:space="preserve">Which type of AVT describes the action on screen for blind viewers?</w:t>
      </w:r>
    </w:p>
    <w:p>
      <w:pPr>
        <w:pStyle w:val="ListParagraph"/>
        <w:numPr>
          <w:ilvl w:val="0"/>
          <w:numId w:val="75"/>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70" w:line="290"/>
      </w:pPr>
      <w:r>
        <w:rPr>
          <w:rFonts w:ascii="Calibri" w:cs="Calibri" w:eastAsia="Calibri" w:hAnsi="Calibri"/>
          <w:color w:val="6B6680"/>
        </w:rPr>
        <w:t xml:space="preserve">Images, sound and written words.</w:t>
      </w:r>
    </w:p>
    <w:p>
      <w:pPr>
        <w:pStyle w:val="ListParagraph"/>
        <w:numPr>
          <w:ilvl w:val="0"/>
          <w:numId w:val="76"/>
        </w:numPr>
        <w:spacing w:after="70" w:line="290"/>
      </w:pPr>
      <w:r>
        <w:rPr>
          <w:rFonts w:ascii="Calibri" w:cs="Calibri" w:eastAsia="Calibri" w:hAnsi="Calibri"/>
          <w:color w:val="6B6680"/>
        </w:rPr>
        <w:t xml:space="preserve">Audio description.</w:t>
      </w:r>
    </w:p>
    <w:p>
      <w:pPr>
        <w:pStyle w:val="ListParagraph"/>
        <w:numPr>
          <w:ilvl w:val="0"/>
          <w:numId w:val="76"/>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7"/>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7"/>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7"/>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7"/>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7"/>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7"/>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7"/>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7"/>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8"/>
        </w:numPr>
        <w:spacing w:after="70" w:line="290"/>
      </w:pPr>
      <w:r>
        <w:rPr>
          <w:rFonts w:ascii="Calibri" w:cs="Calibri" w:eastAsia="Calibri" w:hAnsi="Calibri"/>
        </w:rPr>
        <w:t xml:space="preserve">What is the difference between open and closed subtitles?</w:t>
      </w:r>
    </w:p>
    <w:p>
      <w:pPr>
        <w:pStyle w:val="ListParagraph"/>
        <w:numPr>
          <w:ilvl w:val="0"/>
          <w:numId w:val="78"/>
        </w:numPr>
        <w:spacing w:after="70" w:line="290"/>
      </w:pPr>
      <w:r>
        <w:rPr>
          <w:rFonts w:ascii="Calibri" w:cs="Calibri" w:eastAsia="Calibri" w:hAnsi="Calibri"/>
        </w:rPr>
        <w:t xml:space="preserve">Which strategy uses an accepted translation?</w:t>
      </w:r>
    </w:p>
    <w:p>
      <w:pPr>
        <w:pStyle w:val="ListParagraph"/>
        <w:numPr>
          <w:ilvl w:val="0"/>
          <w:numId w:val="78"/>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9"/>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9"/>
        </w:numPr>
        <w:spacing w:after="70" w:line="290"/>
      </w:pPr>
      <w:r>
        <w:rPr>
          <w:rFonts w:ascii="Calibri" w:cs="Calibri" w:eastAsia="Calibri" w:hAnsi="Calibri"/>
          <w:color w:val="6B6680"/>
        </w:rPr>
        <w:t xml:space="preserve">The official equivalent.</w:t>
      </w:r>
    </w:p>
    <w:p>
      <w:pPr>
        <w:pStyle w:val="ListParagraph"/>
        <w:numPr>
          <w:ilvl w:val="0"/>
          <w:numId w:val="79"/>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80"/>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80"/>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80"/>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80"/>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81"/>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81"/>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81"/>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81"/>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81"/>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2"/>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2"/>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2"/>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2"/>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2"/>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3"/>
        </w:numPr>
        <w:spacing w:after="70" w:line="290"/>
      </w:pPr>
      <w:r>
        <w:rPr>
          <w:rFonts w:ascii="Calibri" w:cs="Calibri" w:eastAsia="Calibri" w:hAnsi="Calibri"/>
        </w:rPr>
        <w:t xml:space="preserve">Analyse the text with the analysis checklist (Chapter 17).</w:t>
      </w:r>
    </w:p>
    <w:p>
      <w:pPr>
        <w:pStyle w:val="ListParagraph"/>
        <w:numPr>
          <w:ilvl w:val="0"/>
          <w:numId w:val="83"/>
        </w:numPr>
        <w:spacing w:after="70" w:line="290"/>
      </w:pPr>
      <w:r>
        <w:rPr>
          <w:rFonts w:ascii="Calibri" w:cs="Calibri" w:eastAsia="Calibri" w:hAnsi="Calibri"/>
        </w:rPr>
        <w:t xml:space="preserve">Translate it.</w:t>
      </w:r>
    </w:p>
    <w:p>
      <w:pPr>
        <w:pStyle w:val="ListParagraph"/>
        <w:numPr>
          <w:ilvl w:val="0"/>
          <w:numId w:val="83"/>
        </w:numPr>
        <w:spacing w:after="70" w:line="290"/>
      </w:pPr>
      <w:r>
        <w:rPr>
          <w:rFonts w:ascii="Calibri" w:cs="Calibri" w:eastAsia="Calibri" w:hAnsi="Calibri"/>
        </w:rPr>
        <w:t xml:space="preserve">Revise it with the risk matrix and the checklists (Chapters 23 and 24).</w:t>
      </w:r>
    </w:p>
    <w:p>
      <w:pPr>
        <w:pStyle w:val="ListParagraph"/>
        <w:numPr>
          <w:ilvl w:val="0"/>
          <w:numId w:val="83"/>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 [To be replaced with an authentic news text and its source.]</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 [To be replaced with an authentic news text and its source.]</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4"/>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4"/>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4"/>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4"/>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4"/>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4"/>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4"/>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4"/>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4"/>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4"/>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4"/>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4"/>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4"/>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4"/>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4"/>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 Checklist 4, based on Dr Abdullah’s framework, will be completed by the Translation Team.</w:t>
      </w:r>
    </w:p>
    <w:p>
      <w:pPr>
        <w:pStyle w:val="Heading2"/>
      </w:pPr>
      <w:r>
        <w:t xml:space="preserve">Checklist 1: The translation process</w:t>
      </w:r>
    </w:p>
    <w:p>
      <w:pPr>
        <w:pStyle w:val="Heading3"/>
      </w:pPr>
      <w:r>
        <w:t xml:space="preserve">Before you translate</w:t>
      </w:r>
    </w:p>
    <w:p>
      <w:pPr>
        <w:pStyle w:val="ListParagraph"/>
        <w:numPr>
          <w:ilvl w:val="0"/>
          <w:numId w:val="85"/>
        </w:numPr>
        <w:spacing w:after="70" w:line="290"/>
      </w:pPr>
      <w:r>
        <w:rPr>
          <w:rFonts w:ascii="Calibri" w:cs="Calibri" w:eastAsia="Calibri" w:hAnsi="Calibri"/>
        </w:rPr>
        <w:t xml:space="preserve">I know the client, the purpose and the audience.</w:t>
      </w:r>
    </w:p>
    <w:p>
      <w:pPr>
        <w:pStyle w:val="ListParagraph"/>
        <w:numPr>
          <w:ilvl w:val="0"/>
          <w:numId w:val="85"/>
        </w:numPr>
        <w:spacing w:after="70" w:line="290"/>
      </w:pPr>
      <w:r>
        <w:rPr>
          <w:rFonts w:ascii="Calibri" w:cs="Calibri" w:eastAsia="Calibri" w:hAnsi="Calibri"/>
        </w:rPr>
        <w:t xml:space="preserve">I have read the whole text at least twice.</w:t>
      </w:r>
    </w:p>
    <w:p>
      <w:pPr>
        <w:pStyle w:val="ListParagraph"/>
        <w:numPr>
          <w:ilvl w:val="0"/>
          <w:numId w:val="85"/>
        </w:numPr>
        <w:spacing w:after="70" w:line="290"/>
      </w:pPr>
      <w:r>
        <w:rPr>
          <w:rFonts w:ascii="Calibri" w:cs="Calibri" w:eastAsia="Calibri" w:hAnsi="Calibri"/>
        </w:rPr>
        <w:t xml:space="preserve">I have completed the analysis worksheet.</w:t>
      </w:r>
    </w:p>
    <w:p>
      <w:pPr>
        <w:pStyle w:val="ListParagraph"/>
        <w:numPr>
          <w:ilvl w:val="0"/>
          <w:numId w:val="85"/>
        </w:numPr>
        <w:spacing w:after="70" w:line="290"/>
      </w:pPr>
      <w:r>
        <w:rPr>
          <w:rFonts w:ascii="Calibri" w:cs="Calibri" w:eastAsia="Calibri" w:hAnsi="Calibri"/>
        </w:rPr>
        <w:t xml:space="preserve">I have listed and checked the key terms.</w:t>
      </w:r>
    </w:p>
    <w:p>
      <w:pPr>
        <w:pStyle w:val="ListParagraph"/>
        <w:numPr>
          <w:ilvl w:val="0"/>
          <w:numId w:val="85"/>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5"/>
        </w:numPr>
        <w:spacing w:after="70" w:line="290"/>
      </w:pPr>
      <w:r>
        <w:rPr>
          <w:rFonts w:ascii="Calibri" w:cs="Calibri" w:eastAsia="Calibri" w:hAnsi="Calibri"/>
        </w:rPr>
        <w:t xml:space="preserve">The meaning is the same as in the original.</w:t>
      </w:r>
    </w:p>
    <w:p>
      <w:pPr>
        <w:pStyle w:val="ListParagraph"/>
        <w:numPr>
          <w:ilvl w:val="0"/>
          <w:numId w:val="85"/>
        </w:numPr>
        <w:spacing w:after="70" w:line="290"/>
      </w:pPr>
      <w:r>
        <w:rPr>
          <w:rFonts w:ascii="Calibri" w:cs="Calibri" w:eastAsia="Calibri" w:hAnsi="Calibri"/>
        </w:rPr>
        <w:t xml:space="preserve">The terms are the same all the way through.</w:t>
      </w:r>
    </w:p>
    <w:p>
      <w:pPr>
        <w:pStyle w:val="ListParagraph"/>
        <w:numPr>
          <w:ilvl w:val="0"/>
          <w:numId w:val="85"/>
        </w:numPr>
        <w:spacing w:after="70" w:line="290"/>
      </w:pPr>
      <w:r>
        <w:rPr>
          <w:rFonts w:ascii="Calibri" w:cs="Calibri" w:eastAsia="Calibri" w:hAnsi="Calibri"/>
        </w:rPr>
        <w:t xml:space="preserve">The style suits the brief and the genre.</w:t>
      </w:r>
    </w:p>
    <w:p>
      <w:pPr>
        <w:pStyle w:val="ListParagraph"/>
        <w:numPr>
          <w:ilvl w:val="0"/>
          <w:numId w:val="85"/>
        </w:numPr>
        <w:spacing w:after="70" w:line="290"/>
      </w:pPr>
      <w:r>
        <w:rPr>
          <w:rFonts w:ascii="Calibri" w:cs="Calibri" w:eastAsia="Calibri" w:hAnsi="Calibri"/>
        </w:rPr>
        <w:t xml:space="preserve">Collocations and idioms sound natural.</w:t>
      </w:r>
    </w:p>
    <w:p>
      <w:pPr>
        <w:pStyle w:val="ListParagraph"/>
        <w:numPr>
          <w:ilvl w:val="0"/>
          <w:numId w:val="85"/>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5"/>
        </w:numPr>
        <w:spacing w:after="70" w:line="290"/>
      </w:pPr>
      <w:r>
        <w:rPr>
          <w:rFonts w:ascii="Calibri" w:cs="Calibri" w:eastAsia="Calibri" w:hAnsi="Calibri"/>
        </w:rPr>
        <w:t xml:space="preserve">Nothing is missing, and nothing has been added.</w:t>
      </w:r>
    </w:p>
    <w:p>
      <w:pPr>
        <w:pStyle w:val="ListParagraph"/>
        <w:numPr>
          <w:ilvl w:val="0"/>
          <w:numId w:val="85"/>
        </w:numPr>
        <w:spacing w:after="70" w:line="290"/>
      </w:pPr>
      <w:r>
        <w:rPr>
          <w:rFonts w:ascii="Calibri" w:cs="Calibri" w:eastAsia="Calibri" w:hAnsi="Calibri"/>
        </w:rPr>
        <w:t xml:space="preserve">Every “not” is in place.</w:t>
      </w:r>
    </w:p>
    <w:p>
      <w:pPr>
        <w:pStyle w:val="ListParagraph"/>
        <w:numPr>
          <w:ilvl w:val="0"/>
          <w:numId w:val="85"/>
        </w:numPr>
        <w:spacing w:after="70" w:line="290"/>
      </w:pPr>
      <w:r>
        <w:rPr>
          <w:rFonts w:ascii="Calibri" w:cs="Calibri" w:eastAsia="Calibri" w:hAnsi="Calibri"/>
        </w:rPr>
        <w:t xml:space="preserve">Numbers, names, dates and captions are correct.</w:t>
      </w:r>
    </w:p>
    <w:p>
      <w:pPr>
        <w:pStyle w:val="ListParagraph"/>
        <w:numPr>
          <w:ilvl w:val="0"/>
          <w:numId w:val="85"/>
        </w:numPr>
        <w:spacing w:after="70" w:line="290"/>
      </w:pPr>
      <w:r>
        <w:rPr>
          <w:rFonts w:ascii="Calibri" w:cs="Calibri" w:eastAsia="Calibri" w:hAnsi="Calibri"/>
        </w:rPr>
        <w:t xml:space="preserve">Grammar, spelling and punctuation are correct.</w:t>
      </w:r>
    </w:p>
    <w:p>
      <w:pPr>
        <w:pStyle w:val="ListParagraph"/>
        <w:numPr>
          <w:ilvl w:val="0"/>
          <w:numId w:val="85"/>
        </w:numPr>
        <w:spacing w:after="70" w:line="290"/>
      </w:pPr>
      <w:r>
        <w:rPr>
          <w:rFonts w:ascii="Calibri" w:cs="Calibri" w:eastAsia="Calibri" w:hAnsi="Calibri"/>
        </w:rPr>
        <w:t xml:space="preserve">I have read the translation without the original.</w:t>
      </w:r>
    </w:p>
    <w:p>
      <w:pPr>
        <w:pStyle w:val="ListParagraph"/>
        <w:numPr>
          <w:ilvl w:val="0"/>
          <w:numId w:val="85"/>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Critical discourse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text</w:t>
      </w:r>
    </w:p>
    <w:p>
      <w:pPr>
        <w:pStyle w:val="ListParagraph"/>
        <w:numPr>
          <w:ilvl w:val="0"/>
          <w:numId w:val="85"/>
        </w:numPr>
        <w:spacing w:after="70" w:line="290"/>
      </w:pPr>
      <w:r>
        <w:rPr>
          <w:rFonts w:ascii="Calibri" w:cs="Calibri" w:eastAsia="Calibri" w:hAnsi="Calibri"/>
        </w:rPr>
        <w:t xml:space="preserve">I have marked words that show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5"/>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5"/>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Its production</w:t>
      </w:r>
    </w:p>
    <w:p>
      <w:pPr>
        <w:pStyle w:val="ListParagraph"/>
        <w:numPr>
          <w:ilvl w:val="0"/>
          <w:numId w:val="85"/>
        </w:numPr>
        <w:spacing w:after="70" w:line="290"/>
      </w:pPr>
      <w:r>
        <w:rPr>
          <w:rFonts w:ascii="Calibri" w:cs="Calibri" w:eastAsia="Calibri" w:hAnsi="Calibri"/>
        </w:rPr>
        <w:t xml:space="preserve">I know who wrote the text and who published it.</w:t>
      </w:r>
    </w:p>
    <w:p>
      <w:pPr>
        <w:pStyle w:val="ListParagraph"/>
        <w:numPr>
          <w:ilvl w:val="0"/>
          <w:numId w:val="85"/>
        </w:numPr>
        <w:spacing w:after="70" w:line="290"/>
      </w:pPr>
      <w:r>
        <w:rPr>
          <w:rFonts w:ascii="Calibri" w:cs="Calibri" w:eastAsia="Calibri" w:hAnsi="Calibri"/>
        </w:rPr>
        <w:t xml:space="preserve">I know which readers it was written for.</w:t>
      </w:r>
    </w:p>
    <w:p>
      <w:pPr>
        <w:pStyle w:val="ListParagraph"/>
        <w:numPr>
          <w:ilvl w:val="0"/>
          <w:numId w:val="85"/>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Society</w:t>
      </w:r>
    </w:p>
    <w:p>
      <w:pPr>
        <w:pStyle w:val="ListParagraph"/>
        <w:numPr>
          <w:ilvl w:val="0"/>
          <w:numId w:val="85"/>
        </w:numPr>
        <w:spacing w:after="70" w:line="290"/>
      </w:pPr>
      <w:r>
        <w:rPr>
          <w:rFonts w:ascii="Calibri" w:cs="Calibri" w:eastAsia="Calibri" w:hAnsi="Calibri"/>
        </w:rPr>
        <w:t xml:space="preserve">I have considered which relations of power the text reflects.</w:t>
      </w:r>
    </w:p>
    <w:p>
      <w:pPr>
        <w:pStyle w:val="ListParagraph"/>
        <w:numPr>
          <w:ilvl w:val="0"/>
          <w:numId w:val="85"/>
        </w:numPr>
        <w:spacing w:after="70" w:line="290"/>
      </w:pPr>
      <w:r>
        <w:rPr>
          <w:rFonts w:ascii="Calibri" w:cs="Calibri" w:eastAsia="Calibri" w:hAnsi="Calibri"/>
        </w:rPr>
        <w:t xml:space="preserve">I have considered whose interests the text serves.</w:t>
      </w:r>
    </w:p>
    <w:p>
      <w:pPr>
        <w:pStyle w:val="ListParagraph"/>
        <w:numPr>
          <w:ilvl w:val="0"/>
          <w:numId w:val="85"/>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Based on Dr Abdullah’s framework</w:t>
      </w:r>
    </w:p>
    <w:p>
      <w:pPr>
        <w:spacing w:after="120" w:line="290"/>
      </w:pPr>
      <w:r>
        <w:rPr>
          <w:rFonts w:ascii="Calibri" w:cs="Calibri" w:eastAsia="Calibri" w:hAnsi="Calibri"/>
        </w:rPr>
        <w:t xml:space="preserve">[To be completed by the Translation Team, based on Dr Abdullah’s PhD research and framework.]</w:t>
      </w:r>
    </w:p>
    <w:p>
      <w:pPr>
        <w:pStyle w:val="Heading2"/>
        <w:pageBreakBefore/>
      </w:pPr>
      <w:r>
        <w:t xml:space="preserve">Checklist 5: Your commentary</w:t>
      </w:r>
    </w:p>
    <w:p>
      <w:pPr>
        <w:pStyle w:val="ListParagraph"/>
        <w:numPr>
          <w:ilvl w:val="0"/>
          <w:numId w:val="85"/>
        </w:numPr>
        <w:spacing w:after="70" w:line="290"/>
      </w:pPr>
      <w:r>
        <w:rPr>
          <w:rFonts w:ascii="Calibri" w:cs="Calibri" w:eastAsia="Calibri" w:hAnsi="Calibri"/>
        </w:rPr>
        <w:t xml:space="preserve">Part one reflects on my analysis; part two reflects on my translation.</w:t>
      </w:r>
    </w:p>
    <w:p>
      <w:pPr>
        <w:pStyle w:val="ListParagraph"/>
        <w:numPr>
          <w:ilvl w:val="0"/>
          <w:numId w:val="85"/>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5"/>
        </w:numPr>
        <w:spacing w:after="70" w:line="290"/>
      </w:pPr>
      <w:r>
        <w:rPr>
          <w:rFonts w:ascii="Calibri" w:cs="Calibri" w:eastAsia="Calibri" w:hAnsi="Calibri"/>
        </w:rPr>
        <w:t xml:space="preserve">I quote examples from the source and the translation.</w:t>
      </w:r>
    </w:p>
    <w:p>
      <w:pPr>
        <w:pStyle w:val="ListParagraph"/>
        <w:numPr>
          <w:ilvl w:val="0"/>
          <w:numId w:val="85"/>
        </w:numPr>
        <w:spacing w:after="70" w:line="290"/>
      </w:pPr>
      <w:r>
        <w:rPr>
          <w:rFonts w:ascii="Calibri" w:cs="Calibri" w:eastAsia="Calibri" w:hAnsi="Calibri"/>
        </w:rPr>
        <w:t xml:space="preserve">I write in the third person.</w:t>
      </w:r>
    </w:p>
    <w:p>
      <w:pPr>
        <w:pStyle w:val="ListParagraph"/>
        <w:numPr>
          <w:ilvl w:val="0"/>
          <w:numId w:val="85"/>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An Arabic version of the handbook is planned for future use (Translation Team, n.d.). [The team to confirm the audiences and materials planned for future editions. Suggestions: authentic news texts for practice; examples from the 180, 182 and 386 course texts; a completed checklist based on Dr Abdullah’s framework; subtitling exercises with film clips; and chapters on interpreting, and on legal and medical translation, for more advanced readers.]</w:t>
      </w: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Collocational meaning</w:t>
      </w:r>
      <w:r>
        <w:rPr>
          <w:rFonts w:ascii="Calibri" w:cs="Calibri" w:eastAsia="Calibri" w:hAnsi="Calibri"/>
        </w:rPr>
        <w:t xml:space="preserve">  </w:t>
      </w:r>
      <w:r>
        <w:rPr>
          <w:rFonts w:ascii="Arial" w:cs="Arial" w:hAnsi="Arial"/>
          <w:sz w:val="23"/>
          <w:szCs w:val="24"/>
          <w:rtl/>
        </w:rPr>
        <w:t xml:space="preserve">المعنى التلازمي</w:t>
      </w:r>
      <w:r>
        <w:rPr>
          <w:rFonts w:ascii="Calibri" w:cs="Calibri" w:eastAsia="Calibri" w:hAnsi="Calibri"/>
        </w:rPr>
        <w:t xml:space="preserve">  </w:t>
      </w:r>
      <w:r>
        <w:rPr>
          <w:rFonts w:ascii="Calibri" w:cs="Calibri" w:eastAsia="Calibri" w:hAnsi="Calibri"/>
        </w:rPr>
        <w:t xml:space="preserve">The meaning a word has in a particular word partnership.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Critical discourse analysis (CDA)</w:t>
      </w:r>
      <w:r>
        <w:rPr>
          <w:rFonts w:ascii="Calibri" w:cs="Calibri" w:eastAsia="Calibri" w:hAnsi="Calibri"/>
        </w:rPr>
        <w:t xml:space="preserve">  </w:t>
      </w:r>
      <w:r>
        <w:rPr>
          <w:rFonts w:ascii="Arial" w:cs="Arial" w:hAnsi="Arial"/>
          <w:sz w:val="23"/>
          <w:szCs w:val="24"/>
          <w:rtl/>
        </w:rPr>
        <w:t xml:space="preserve">التحليل النقدي للخطاب</w:t>
      </w:r>
      <w:r>
        <w:rPr>
          <w:rFonts w:ascii="Calibri" w:cs="Calibri" w:eastAsia="Calibri" w:hAnsi="Calibri"/>
        </w:rPr>
        <w:t xml:space="preserve">  </w:t>
      </w:r>
      <w:r>
        <w:rPr>
          <w:rFonts w:ascii="Calibri" w:cs="Calibri" w:eastAsia="Calibri" w:hAnsi="Calibri"/>
        </w:rPr>
        <w:t xml:space="preserve">Studying how language reflects and shapes power and ideology.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Discourse</w:t>
      </w:r>
      <w:r>
        <w:rPr>
          <w:rFonts w:ascii="Calibri" w:cs="Calibri" w:eastAsia="Calibri" w:hAnsi="Calibri"/>
        </w:rPr>
        <w:t xml:space="preserve">  </w:t>
      </w:r>
      <w:r>
        <w:rPr>
          <w:rFonts w:ascii="Arial" w:cs="Arial" w:hAnsi="Arial"/>
          <w:sz w:val="23"/>
          <w:szCs w:val="24"/>
          <w:rtl/>
        </w:rPr>
        <w:t xml:space="preserve">الخطاب</w:t>
      </w:r>
      <w:r>
        <w:rPr>
          <w:rFonts w:ascii="Calibri" w:cs="Calibri" w:eastAsia="Calibri" w:hAnsi="Calibri"/>
        </w:rPr>
        <w:t xml:space="preserve">  </w:t>
      </w:r>
      <w:r>
        <w:rPr>
          <w:rFonts w:ascii="Calibri" w:cs="Calibri" w:eastAsia="Calibri" w:hAnsi="Calibri"/>
        </w:rPr>
        <w:t xml:space="preserve">Language in use, as a form of social practice.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Hybrid form</w:t>
      </w:r>
      <w:r>
        <w:rPr>
          <w:rFonts w:ascii="Calibri" w:cs="Calibri" w:eastAsia="Calibri" w:hAnsi="Calibri"/>
        </w:rPr>
        <w:t xml:space="preserve">  </w:t>
      </w:r>
      <w:r>
        <w:rPr>
          <w:rFonts w:ascii="Arial" w:cs="Arial" w:hAnsi="Arial"/>
          <w:sz w:val="23"/>
          <w:szCs w:val="24"/>
          <w:rtl/>
        </w:rPr>
        <w:t xml:space="preserve">الصيغة الهجينة</w:t>
      </w:r>
      <w:r>
        <w:rPr>
          <w:rFonts w:ascii="Calibri" w:cs="Calibri" w:eastAsia="Calibri" w:hAnsi="Calibri"/>
        </w:rPr>
        <w:t xml:space="preserve">  </w:t>
      </w:r>
      <w:r>
        <w:rPr>
          <w:rFonts w:ascii="Calibri" w:cs="Calibri" w:eastAsia="Calibri" w:hAnsi="Calibri"/>
        </w:rPr>
        <w:t xml:space="preserve">A new term that mixes a borrowed part and a translated part.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Idiomatic meaning</w:t>
      </w:r>
      <w:r>
        <w:rPr>
          <w:rFonts w:ascii="Calibri" w:cs="Calibri" w:eastAsia="Calibri" w:hAnsi="Calibri"/>
        </w:rPr>
        <w:t xml:space="preserve">  </w:t>
      </w:r>
      <w:r>
        <w:rPr>
          <w:rFonts w:ascii="Arial" w:cs="Arial" w:hAnsi="Arial"/>
          <w:sz w:val="23"/>
          <w:szCs w:val="24"/>
          <w:rtl/>
        </w:rPr>
        <w:t xml:space="preserve">المعنى الاصطلاحي</w:t>
      </w:r>
      <w:r>
        <w:rPr>
          <w:rFonts w:ascii="Calibri" w:cs="Calibri" w:eastAsia="Calibri" w:hAnsi="Calibri"/>
        </w:rPr>
        <w:t xml:space="preserve">  </w:t>
      </w:r>
      <w:r>
        <w:rPr>
          <w:rFonts w:ascii="Calibri" w:cs="Calibri" w:eastAsia="Calibri" w:hAnsi="Calibri"/>
        </w:rPr>
        <w:t xml:space="preserve">The special meaning of an idiom as a whole.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Interlingual communication</w:t>
      </w:r>
      <w:r>
        <w:rPr>
          <w:rFonts w:ascii="Calibri" w:cs="Calibri" w:eastAsia="Calibri" w:hAnsi="Calibri"/>
        </w:rPr>
        <w:t xml:space="preserve">  </w:t>
      </w:r>
      <w:r>
        <w:rPr>
          <w:rFonts w:ascii="Arial" w:cs="Arial" w:hAnsi="Arial"/>
          <w:sz w:val="23"/>
          <w:szCs w:val="24"/>
          <w:rtl/>
        </w:rPr>
        <w:t xml:space="preserve">التواصل بين لغتين</w:t>
      </w:r>
      <w:r>
        <w:rPr>
          <w:rFonts w:ascii="Calibri" w:cs="Calibri" w:eastAsia="Calibri" w:hAnsi="Calibri"/>
        </w:rPr>
        <w:t xml:space="preserve">  </w:t>
      </w:r>
      <w:r>
        <w:rPr>
          <w:rFonts w:ascii="Calibri" w:cs="Calibri" w:eastAsia="Calibri" w:hAnsi="Calibri"/>
        </w:rPr>
        <w:t xml:space="preserve">Communication between speakers of two different languages.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Lexicalisation</w:t>
      </w:r>
      <w:r>
        <w:rPr>
          <w:rFonts w:ascii="Calibri" w:cs="Calibri" w:eastAsia="Calibri" w:hAnsi="Calibri"/>
        </w:rPr>
        <w:t xml:space="preserve">  </w:t>
      </w:r>
      <w:r>
        <w:rPr>
          <w:rFonts w:ascii="Arial" w:cs="Arial" w:hAnsi="Arial"/>
          <w:sz w:val="23"/>
          <w:szCs w:val="24"/>
          <w:rtl/>
        </w:rPr>
        <w:t xml:space="preserve">التعجيم</w:t>
      </w:r>
      <w:r>
        <w:rPr>
          <w:rFonts w:ascii="Calibri" w:cs="Calibri" w:eastAsia="Calibri" w:hAnsi="Calibri"/>
        </w:rPr>
        <w:t xml:space="preserve">  </w:t>
      </w:r>
      <w:r>
        <w:rPr>
          <w:rFonts w:ascii="Calibri" w:cs="Calibri" w:eastAsia="Calibri" w:hAnsi="Calibri"/>
        </w:rPr>
        <w:t xml:space="preserve">Official acceptance of a new word into the dictionary.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Rhetoric</w:t>
      </w:r>
      <w:r>
        <w:rPr>
          <w:rFonts w:ascii="Calibri" w:cs="Calibri" w:eastAsia="Calibri" w:hAnsi="Calibri"/>
        </w:rPr>
        <w:t xml:space="preserve">  </w:t>
      </w:r>
      <w:r>
        <w:rPr>
          <w:rFonts w:ascii="Arial" w:cs="Arial" w:hAnsi="Arial"/>
          <w:sz w:val="23"/>
          <w:szCs w:val="24"/>
          <w:rtl/>
        </w:rPr>
        <w:t xml:space="preserve">البلاغة</w:t>
      </w:r>
      <w:r>
        <w:rPr>
          <w:rFonts w:ascii="Calibri" w:cs="Calibri" w:eastAsia="Calibri" w:hAnsi="Calibri"/>
        </w:rPr>
        <w:t xml:space="preserve">  </w:t>
      </w:r>
      <w:r>
        <w:rPr>
          <w:rFonts w:ascii="Calibri" w:cs="Calibri" w:eastAsia="Calibri" w:hAnsi="Calibri"/>
        </w:rPr>
        <w:t xml:space="preserve">The art of using language effectively and persuasively.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Even-Zohar, I. (1990). Polysystem studies [Special issue]. </w:t>
      </w:r>
      <w:r>
        <w:rPr>
          <w:rFonts w:ascii="Calibri" w:cs="Calibri" w:eastAsia="Calibri" w:hAnsi="Calibri"/>
          <w:i/>
          <w:iCs/>
        </w:rPr>
        <w:t xml:space="preserve">Poetics Today, 11</w:t>
      </w:r>
      <w:r>
        <w:rPr>
          <w:rFonts w:ascii="Calibri" w:cs="Calibri" w:eastAsia="Calibri" w:hAnsi="Calibri"/>
        </w:rPr>
        <w:t xml:space="preserve">(1).</w:t>
      </w:r>
    </w:p>
    <w:p>
      <w:pPr>
        <w:spacing w:after="100" w:line="280"/>
        <w:ind w:left="567" w:hanging="567"/>
      </w:pPr>
      <w:r>
        <w:rPr>
          <w:rFonts w:ascii="Calibri" w:cs="Calibri" w:eastAsia="Calibri" w:hAnsi="Calibri"/>
        </w:rPr>
        <w:t xml:space="preserve">Fairclough, N. (1989). </w:t>
      </w:r>
      <w:r>
        <w:rPr>
          <w:rFonts w:ascii="Calibri" w:cs="Calibri" w:eastAsia="Calibri" w:hAnsi="Calibri"/>
          <w:i/>
          <w:iCs/>
        </w:rPr>
        <w:t xml:space="preserve">Language and power</w:t>
      </w:r>
      <w:r>
        <w:rPr>
          <w:rFonts w:ascii="Calibri" w:cs="Calibri" w:eastAsia="Calibri" w:hAnsi="Calibri"/>
        </w:rPr>
        <w:t xml:space="preserve">. Longman.</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(2010). </w:t>
      </w:r>
      <w:r>
        <w:rPr>
          <w:rFonts w:ascii="Calibri" w:cs="Calibri" w:eastAsia="Calibri" w:hAnsi="Calibri"/>
          <w:i/>
          <w:iCs/>
        </w:rPr>
        <w:t xml:space="preserve">Critical discourse analysis: The critical study of language</w:t>
      </w:r>
      <w:r>
        <w:rPr>
          <w:rFonts w:ascii="Calibri" w:cs="Calibri" w:eastAsia="Calibri" w:hAnsi="Calibri"/>
        </w:rPr>
        <w:t xml:space="preserve"> (2nd ed.). Longman.</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International Organization for Standardization. (2022). </w:t>
      </w:r>
      <w:r>
        <w:rPr>
          <w:rFonts w:ascii="Calibri" w:cs="Calibri" w:eastAsia="Calibri" w:hAnsi="Calibri"/>
          <w:i/>
          <w:iCs/>
        </w:rPr>
        <w:t xml:space="preserve">Terminology work: Principles and methods</w:t>
      </w:r>
      <w:r>
        <w:rPr>
          <w:rFonts w:ascii="Calibri" w:cs="Calibri" w:eastAsia="Calibri" w:hAnsi="Calibri"/>
        </w:rPr>
        <w:t xml:space="preserve"> (ISO Standard No. 704:2022).</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 [Page to be confirmed; secondary sources give vol. 1, p. 76.]</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Munday, J. (2016). </w:t>
      </w:r>
      <w:r>
        <w:rPr>
          <w:rFonts w:ascii="Calibri" w:cs="Calibri" w:eastAsia="Calibri" w:hAnsi="Calibri"/>
          <w:i/>
          <w:iCs/>
        </w:rPr>
        <w:t xml:space="preserve">Introducing translation studies: Theories and applications</w:t>
      </w:r>
      <w:r>
        <w:rPr>
          <w:rFonts w:ascii="Calibri" w:cs="Calibri" w:eastAsia="Calibri" w:hAnsi="Calibri"/>
        </w:rPr>
        <w:t xml:space="preserve"> (4th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(1964). </w:t>
      </w:r>
      <w:r>
        <w:rPr>
          <w:rFonts w:ascii="Calibri" w:cs="Calibri" w:eastAsia="Calibri" w:hAnsi="Calibri"/>
          <w:i/>
          <w:iCs/>
        </w:rPr>
        <w:t xml:space="preserve">Toward a science of translating: With special reference to principles and procedures involved in Bible translating</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rPr>
        <w:t xml:space="preserve">O’Hagan, M. (2007). Impact of DVD on translation: Language options as an essential add-on feature. </w:t>
      </w:r>
      <w:r>
        <w:rPr>
          <w:rFonts w:ascii="Calibri" w:cs="Calibri" w:eastAsia="Calibri" w:hAnsi="Calibri"/>
          <w:i/>
          <w:iCs/>
        </w:rPr>
        <w:t xml:space="preserve">Convergence, 13</w:t>
      </w:r>
      <w:r>
        <w:rPr>
          <w:rFonts w:ascii="Calibri" w:cs="Calibri" w:eastAsia="Calibri" w:hAnsi="Calibri"/>
        </w:rPr>
        <w:t xml:space="preserve">(2), 157–168.</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Schleiermacher, F. (2012). On the different methods of translating (S. Bernofsky,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published 1813)</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Shannon, C. E., &amp; Weaver, W. (1949). </w:t>
      </w:r>
      <w:r>
        <w:rPr>
          <w:rFonts w:ascii="Calibri" w:cs="Calibri" w:eastAsia="Calibri" w:hAnsi="Calibri"/>
          <w:i/>
          <w:iCs/>
        </w:rPr>
        <w:t xml:space="preserve">The mathematical theory of communication</w:t>
      </w:r>
      <w:r>
        <w:rPr>
          <w:rFonts w:ascii="Calibri" w:cs="Calibri" w:eastAsia="Calibri" w:hAnsi="Calibri"/>
        </w:rPr>
        <w:t xml:space="preserve">. University of Illinois Press.</w:t>
      </w:r>
    </w:p>
    <w:p>
      <w:pPr>
        <w:spacing w:after="100" w:line="280"/>
        <w:ind w:left="567" w:hanging="567"/>
      </w:pPr>
      <w:r>
        <w:rPr>
          <w:rFonts w:ascii="Calibri" w:cs="Calibri" w:eastAsia="Calibri" w:hAnsi="Calibri"/>
        </w:rPr>
        <w:t xml:space="preserve">Toury, G. (1995). </w:t>
      </w:r>
      <w:r>
        <w:rPr>
          <w:rFonts w:ascii="Calibri" w:cs="Calibri" w:eastAsia="Calibri" w:hAnsi="Calibri"/>
          <w:i/>
          <w:iCs/>
        </w:rPr>
        <w:t xml:space="preserve">Descriptive translation studies and beyond</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2"/>
        </w:numPr>
        <w:spacing w:after="70" w:line="290"/>
      </w:pPr>
      <w:r>
        <w:rPr>
          <w:rFonts w:ascii="Calibri" w:cs="Calibri" w:eastAsia="Calibri" w:hAnsi="Calibri"/>
        </w:rPr>
        <w:t xml:space="preserve">[Full reference for the 180 textbook.]</w:t>
      </w:r>
    </w:p>
    <w:p>
      <w:pPr>
        <w:pStyle w:val="ListParagraph"/>
        <w:numPr>
          <w:ilvl w:val="0"/>
          <w:numId w:val="2"/>
        </w:numPr>
        <w:spacing w:after="70" w:line="290"/>
      </w:pPr>
      <w:r>
        <w:rPr>
          <w:rFonts w:ascii="Calibri" w:cs="Calibri" w:eastAsia="Calibri" w:hAnsi="Calibri"/>
        </w:rPr>
        <w:t xml:space="preserve">[Full reference for the 182 course book.]</w:t>
      </w:r>
    </w:p>
    <w:p>
      <w:pPr>
        <w:pStyle w:val="ListParagraph"/>
        <w:numPr>
          <w:ilvl w:val="0"/>
          <w:numId w:val="2"/>
        </w:numPr>
        <w:spacing w:after="70" w:line="290"/>
      </w:pPr>
      <w:r>
        <w:rPr>
          <w:rFonts w:ascii="Calibri" w:cs="Calibri" w:eastAsia="Calibri" w:hAnsi="Calibri"/>
        </w:rPr>
        <w:t xml:space="preserve">[Full reference for the 386 course texts, if they are used.]</w:t>
      </w:r>
    </w:p>
    <w:p>
      <w:pPr>
        <w:pStyle w:val="ListParagraph"/>
        <w:numPr>
          <w:ilvl w:val="0"/>
          <w:numId w:val="2"/>
        </w:numPr>
        <w:spacing w:after="7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 The professor’s notes attribute this text to Dr Yusuf; please confirm.]</w:t>
      </w:r>
    </w:p>
    <w:p>
      <w:pPr>
        <w:spacing w:after="40"/>
      </w:pPr>
    </w:p>
    <w:p>
      <w:pPr>
        <w:pageBreakBefore/>
        <w:spacing w:after="200" w:before="2400"/>
        <w:jc w:val="center"/>
      </w:pPr>
      <w:r>
        <w:rPr>
          <w:rFonts w:ascii="Georgia" w:cs="Georgia" w:eastAsia="Georgia" w:hAnsi="Georgia"/>
          <w:i/>
          <w:iCs/>
          <w:color w:val="1F1A2E"/>
          <w:sz w:val="30"/>
          <w:szCs w:val="30"/>
        </w:rPr>
        <w:t xml:space="preserve">“Translate the meaning, not the words.”</w:t>
      </w:r>
    </w:p>
    <w:p>
      <w:pPr>
        <w:bidi/>
        <w:spacing w:after="600"/>
        <w:jc w:val="center"/>
      </w:pPr>
      <w:r>
        <w:rPr>
          <w:rFonts w:ascii="Arial" w:cs="Arial" w:hAnsi="Arial"/>
          <w:color w:val="6B6680"/>
          <w:sz w:val="28"/>
          <w:szCs w:val="28"/>
          <w:rtl/>
        </w:rPr>
        <w:t xml:space="preserve">ترجِمِ المعنى، لا الكلمات.</w:t>
      </w:r>
    </w:p>
    <w:p>
      <w:pPr>
        <w:spacing w:after="1600" w:line="300"/>
        <w:jc w:val="center"/>
      </w:pPr>
      <w:r>
        <w:rPr>
          <w:rFonts w:ascii="Calibri" w:cs="Calibri" w:eastAsia="Calibri" w:hAnsi="Calibri"/>
          <w:color w:val="6B6680"/>
          <w:sz w:val="20"/>
          <w:szCs w:val="20"/>
        </w:rPr>
        <w:t xml:space="preserve">A step-by-step guide for beginners who want to translate between English and Arabic: from preparing a text to checking and explaining the result, with examples in both languages, exercises and answers.</w:t>
      </w:r>
    </w:p>
    <w:p>
      <w:pPr>
        <w:spacing w:after="0" w:before="0"/>
        <w:jc w:val="center"/>
      </w:pPr>
      <w:r>
        <w:rPr>
          <w:rFonts w:ascii="Georgia" w:cs="Georgia" w:eastAsia="Georgia" w:hAnsi="Georgia"/>
          <w:b/>
          <w:bCs/>
          <w:color w:val="3D1591"/>
          <w:sz w:val="48"/>
          <w:szCs w:val="48"/>
        </w:rPr>
        <w:t xml:space="preserve">Guild </w:t>
      </w:r>
      <w:r>
        <w:rPr>
          <w:rFonts w:ascii="Arial" w:cs="Arial" w:eastAsia="Arial" w:hAnsi="Arial"/>
          <w:color w:val="8756C0"/>
          <w:sz w:val="28"/>
          <w:szCs w:val="28"/>
        </w:rPr>
        <w:t xml:space="preserve">●</w:t>
      </w:r>
      <w:r>
        <w:rPr>
          <w:rFonts w:ascii="Arial" w:cs="Arial" w:eastAsia="Arial" w:hAnsi="Arial"/>
          <w:color w:val="867EF6"/>
          <w:sz w:val="28"/>
          <w:szCs w:val="28"/>
        </w:rPr>
        <w:t xml:space="preserve">●</w:t>
      </w:r>
      <w:r>
        <w:rPr>
          <w:rFonts w:ascii="Arial" w:cs="Arial" w:eastAsia="Arial" w:hAnsi="Arial"/>
          <w:color w:val="CCCDFB"/>
          <w:sz w:val="28"/>
          <w:szCs w:val="28"/>
        </w:rPr>
        <w:t xml:space="preserve">●</w:t>
      </w:r>
    </w:p>
    <w:p>
      <w:pPr>
        <w:spacing w:after="40"/>
        <w:jc w:val="center"/>
      </w:pPr>
      <w:r>
        <w:rPr>
          <w:rFonts w:ascii="Georgia" w:cs="Georgia" w:eastAsia="Georgia" w:hAnsi="Georgia"/>
          <w:b/>
          <w:bCs/>
          <w:color w:val="3D1591"/>
          <w:sz w:val="18"/>
          <w:szCs w:val="18"/>
        </w:rPr>
        <w:t xml:space="preserve">Translation Team</w:t>
      </w:r>
    </w:p>
    <w:p>
      <w:pPr>
        <w:spacing w:after="0"/>
        <w:jc w:val="center"/>
      </w:pPr>
      <w:r>
        <w:rPr>
          <w:rFonts w:ascii="Calibri" w:cs="Calibri" w:eastAsia="Calibri" w:hAnsi="Calibri"/>
          <w:color w:val="6B6680"/>
          <w:spacing w:val="60"/>
          <w:sz w:val="10"/>
          <w:szCs w:val="10"/>
        </w:rPr>
        <w:t xml:space="preserve">Professional Club</w:t>
      </w: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2026-09-24T18:41:55.976Z</dcterms:created>
  <dcterms:modified xsi:type="dcterms:W3CDTF">2026-09-24T18:41:55.976Z</dcterms:modified>
</cp:coreProperties>
</file>

<file path=docProps/custom.xml><?xml version="1.0" encoding="utf-8"?>
<Properties xmlns="http://schemas.openxmlformats.org/officeDocument/2006/custom-properties" xmlns:vt="http://schemas.openxmlformats.org/officeDocument/2006/docPropsVTypes"/>
</file>