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94 pages including the covers, B5 page size (176 × 250 mm), with 9 parts and 27 chapters, followed by practice texts at three levels with an answer key, four checklists, a note on future editions, a glossary of 102 terms, a list of 39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39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the checklists, the practice section and the glossary all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102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 sentences in both directions and error correction. Level 2: a legal and human-rights text, classical Arabic poetry and English poetry. Level 3: two news texts, with instructions to use the checklists and the risk matrix.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Level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news texts were written for the handbook and are labelled as such. Authentic texts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and 18; Practice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translation process, an analysis worksheet, words and points of view, and the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 and are used again in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Lists the planned Arabic version, more authentic news texts, subtitling exercises with film clips, and chapters on interpreting and on legal and medical translation. The notes do not specify the audiences, so none are named.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Checklist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Fairclough checklist is included. The checklist based on Dr Abdullah’s framework is not included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and every practice item has an answer with a short explanation. Level 3 has guidance instead of a single model answer.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the practice section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planned Arabic version is listed.</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acknowledgements, how to use this handbook, abbreviations.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(three levels and answer key), four checklists, future editions, 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and reference material that draw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Introduction:</w:t>
      </w:r>
      <w:r>
        <w:rPr>
          <w:rFonts w:ascii="Arial" w:cs="Arial" w:eastAsia="Arial" w:hAnsi="Arial"/>
        </w:rPr>
        <w:t xml:space="preserve"> what the chapter is about and how it follows from the previous one.</w:t>
      </w:r>
    </w:p>
    <w:p>
      <w:pPr>
        <w:pStyle w:val="ListParagraph"/>
        <w:numPr>
          <w:ilvl w:val="0"/>
          <w:numId w:val="5"/>
        </w:numPr>
        <w:spacing w:after="80" w:line="290"/>
      </w:pPr>
      <w:r>
        <w:rPr>
          <w:rFonts w:ascii="Arial" w:cs="Arial" w:eastAsia="Arial" w:hAnsi="Arial"/>
          <w:b/>
          <w:bCs/>
        </w:rPr>
        <w:t xml:space="preserve">Key terms:</w:t>
      </w:r>
      <w:r>
        <w:rPr>
          <w:rFonts w:ascii="Arial" w:cs="Arial" w:eastAsia="Arial" w:hAnsi="Arial"/>
        </w:rPr>
        <w:t xml:space="preserve"> each term with its Arabic equivalent and a one-line definition.</w:t>
      </w:r>
    </w:p>
    <w:p>
      <w:pPr>
        <w:pStyle w:val="ListParagraph"/>
        <w:numPr>
          <w:ilvl w:val="0"/>
          <w:numId w:val="5"/>
        </w:numPr>
        <w:spacing w:after="80" w:line="290"/>
      </w:pPr>
      <w:r>
        <w:rPr>
          <w:rFonts w:ascii="Arial" w:cs="Arial" w:eastAsia="Arial" w:hAnsi="Arial"/>
          <w:b/>
          <w:bCs/>
        </w:rPr>
        <w:t xml:space="preserve">Explanation and examples:</w:t>
      </w:r>
      <w:r>
        <w:rPr>
          <w:rFonts w:ascii="Arial" w:cs="Arial" w:eastAsia="Arial" w:hAnsi="Arial"/>
        </w:rPr>
        <w:t xml:space="preserve"> short sections, with examples in both languages.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w:t>
      </w:r>
      <w:r>
        <w:rPr>
          <w:rFonts w:ascii="Arial" w:cs="Arial" w:eastAsia="Arial" w:hAnsi="Arial"/>
        </w:rPr>
        <w:t xml:space="preserve"> the main points of the chapter in a short list.</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uses the more common form only.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how to use the handbook, abbreviations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section, answer key, four checklists, 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(paragraph 38).</w:t>
            </w:r>
          </w:p>
        </w:tc>
      </w:tr>
    </w:tbl>
    <w:p>
      <w:pPr>
        <w:spacing w:after="1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A blank page before the back cover keeps the page count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Dr Abdullah’s framework.</w:t>
      </w:r>
      <w:r>
        <w:rPr>
          <w:rFonts w:ascii="Arial" w:cs="Arial" w:eastAsia="Arial" w:hAnsi="Arial"/>
        </w:rPr>
        <w:t xml:space="preserve"> A checklist based on it can be added once the framework is received.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and Checklist 3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2026-09-24T20:34:58.583Z</dcterms:created>
  <dcterms:modified xsi:type="dcterms:W3CDTF">2026-09-24T20:34:58.583Z</dcterms:modified>
</cp:coreProperties>
</file>

<file path=docProps/custom.xml><?xml version="1.0" encoding="utf-8"?>
<Properties xmlns="http://schemas.openxmlformats.org/officeDocument/2006/custom-properties" xmlns:vt="http://schemas.openxmlformats.org/officeDocument/2006/docPropsVTypes"/>
</file>