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Contributions Report</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First edition</w:t>
      </w:r>
    </w:p>
    <w:p>
      <w:pPr>
        <w:spacing w:after="160"/>
        <w:jc w:val="center"/>
      </w:pPr>
      <w:r>
        <w:rPr>
          <w:rFonts w:ascii="Arial" w:cs="Arial" w:eastAsia="Arial" w:hAnsi="Arial"/>
          <w:sz w:val="22"/>
          <w:szCs w:val="22"/>
        </w:rPr>
        <w:t xml:space="preserve">Prepared for the supervisor of the Translation Team</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pPr>
    </w:p>
    <w:p>
      <w:pPr>
        <w:pStyle w:val="Heading1"/>
      </w:pPr>
      <w:r>
        <w:t xml:space="preserve">1. Summary</w:t>
      </w:r>
    </w:p>
    <w:p>
      <w:pPr>
        <w:spacing w:after="140" w:line="300"/>
        <w:jc w:val="both"/>
      </w:pPr>
      <w:r>
        <w:rPr>
          <w:rFonts w:ascii="Arial" w:cs="Arial" w:eastAsia="Arial" w:hAnsi="Arial"/>
        </w:rPr>
        <w:t xml:space="preserve">This report explains how each member’s material was used in the handbook, what I changed, what I left out and why. A point-by-point record is kept in the Appendix: The Team’s Documents, for anyone who wants the detail.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2721"/>
        <w:gridCol w:w="1996"/>
        <w:gridCol w:w="2721"/>
      </w:tblGrid>
      <w:tr>
        <w:trPr>
          <w:tblHeader/>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Member</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Material</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it is used</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How much was used</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Mohammad</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draft; plan and recommendations; 180 course notes; Translation 1 notes; notes on Farghal &amp; Shunnaq; Text Analysis Model; </w:t>
            </w:r>
            <w:r>
              <w:rPr>
                <w:rFonts w:ascii="Arial" w:cs="Arial" w:hAnsi="Arial"/>
                <w:sz w:val="19"/>
                <w:szCs w:val="20"/>
                <w:rtl/>
              </w:rPr>
              <w:t xml:space="preserve">الترجمة: ماهيتها وكيفيتها</w:t>
            </w:r>
            <w:r>
              <w:rPr>
                <w:rFonts w:ascii="Arial" w:cs="Arial" w:eastAsia="Arial" w:hAnsi="Arial"/>
                <w:sz w:val="19"/>
                <w:szCs w:val="19"/>
              </w:rPr>
              <w:t xml:space="preserve">; terminology selection (with Masooma)</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 chapters, the chapter order, Chapters 17 and 25</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Draft: 156 of 175 points. Plan: 21 of 38 requests done, 7 in part, 4 done and later removed, 6 not done. Model: used in full, in simpler form.</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 Almesri</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slides (182) and the chapter selected from them with Samiuallah; the idea of an opening chapter of tips</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25 of 43 points</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 Bin Saeed</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Audiovisual translation notes (Intro to AVT, AVT 2)</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26 and 27</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43 of 62 points</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 Alkhaledi</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 study notes; structure, editing, covers, layout, website</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 chapters (see Section 6)</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w:t>
            </w:r>
          </w:p>
        </w:tc>
      </w:tr>
    </w:tbl>
    <w:p>
      <w:pPr>
        <w:spacing w:after="160"/>
      </w:pPr>
    </w:p>
    <w:p>
      <w:pPr>
        <w:pStyle w:val="Heading1"/>
      </w:pPr>
      <w:r>
        <w:t xml:space="preserve">2. How I decided what to keep</w:t>
      </w:r>
    </w:p>
    <w:p>
      <w:pPr>
        <w:spacing w:after="140" w:line="300"/>
        <w:jc w:val="both"/>
      </w:pPr>
      <w:r>
        <w:rPr>
          <w:rFonts w:ascii="Arial" w:cs="Arial" w:eastAsia="Arial" w:hAnsi="Arial"/>
        </w:rPr>
        <w:t xml:space="preserve">The handbook is for students who have never studied translation, so I asked the same question of every point: does a beginner need this, and is it correct? In practice this meant that:</w:t>
      </w:r>
    </w:p>
    <w:p>
      <w:pPr>
        <w:pStyle w:val="ListParagraph"/>
        <w:numPr>
          <w:ilvl w:val="0"/>
          <w:numId w:val="2"/>
        </w:numPr>
        <w:spacing w:after="80" w:line="290"/>
      </w:pPr>
      <w:r>
        <w:rPr>
          <w:rFonts w:ascii="Arial" w:cs="Arial" w:eastAsia="Arial" w:hAnsi="Arial"/>
        </w:rPr>
        <w:t xml:space="preserve">each idea is explained with an example before it is given a name;</w:t>
      </w:r>
    </w:p>
    <w:p>
      <w:pPr>
        <w:pStyle w:val="ListParagraph"/>
        <w:numPr>
          <w:ilvl w:val="0"/>
          <w:numId w:val="2"/>
        </w:numPr>
        <w:spacing w:after="80" w:line="290"/>
      </w:pPr>
      <w:r>
        <w:rPr>
          <w:rFonts w:ascii="Arial" w:cs="Arial" w:eastAsia="Arial" w:hAnsi="Arial"/>
        </w:rPr>
        <w:t xml:space="preserve">each topic appears once, in the chapter where it belongs, even when several documents covered it;</w:t>
      </w:r>
    </w:p>
    <w:p>
      <w:pPr>
        <w:pStyle w:val="ListParagraph"/>
        <w:numPr>
          <w:ilvl w:val="0"/>
          <w:numId w:val="2"/>
        </w:numPr>
        <w:spacing w:after="80" w:line="290"/>
      </w:pPr>
      <w:r>
        <w:rPr>
          <w:rFonts w:ascii="Arial" w:cs="Arial" w:eastAsia="Arial" w:hAnsi="Arial"/>
        </w:rPr>
        <w:t xml:space="preserve">anything I could not check was taken out rather than printed;</w:t>
      </w:r>
    </w:p>
    <w:p>
      <w:pPr>
        <w:pStyle w:val="ListParagraph"/>
        <w:numPr>
          <w:ilvl w:val="0"/>
          <w:numId w:val="2"/>
        </w:numPr>
        <w:spacing w:after="80" w:line="290"/>
      </w:pPr>
      <w:r>
        <w:rPr>
          <w:rFonts w:ascii="Arial" w:cs="Arial" w:eastAsia="Arial" w:hAnsi="Arial"/>
        </w:rPr>
        <w:t xml:space="preserve">examples that took a political or religious position were rewritten or dropped;</w:t>
      </w:r>
    </w:p>
    <w:p>
      <w:pPr>
        <w:pStyle w:val="ListParagraph"/>
        <w:numPr>
          <w:ilvl w:val="0"/>
          <w:numId w:val="2"/>
        </w:numPr>
        <w:spacing w:after="80" w:line="290"/>
      </w:pPr>
      <w:r>
        <w:rPr>
          <w:rFonts w:ascii="Arial" w:cs="Arial" w:eastAsia="Arial" w:hAnsi="Arial"/>
        </w:rPr>
        <w:t xml:space="preserve">history and specialist theory were cut to keep the book under 100 pages;</w:t>
      </w:r>
    </w:p>
    <w:p>
      <w:pPr>
        <w:pStyle w:val="ListParagraph"/>
        <w:numPr>
          <w:ilvl w:val="0"/>
          <w:numId w:val="2"/>
        </w:numPr>
        <w:spacing w:after="80" w:line="290"/>
      </w:pPr>
      <w:r>
        <w:rPr>
          <w:rFonts w:ascii="Arial" w:cs="Arial" w:eastAsia="Arial" w:hAnsi="Arial"/>
        </w:rPr>
        <w:t xml:space="preserve">every idea taken from a published work is cited, with the author’s name in brackets only.</w:t>
      </w:r>
    </w:p>
    <w:p>
      <w:pPr>
        <w:spacing w:after="60"/>
      </w:pPr>
    </w:p>
    <w:p>
      <w:pPr>
        <w:pStyle w:val="Heading1"/>
      </w:pPr>
      <w:r>
        <w:t xml:space="preserve">3. Samiuallah Mohammad</w:t>
      </w:r>
    </w:p>
    <w:p>
      <w:pPr>
        <w:pStyle w:val="Heading2"/>
      </w:pPr>
      <w:r>
        <w:t xml:space="preserve">3.1 First draft</w:t>
      </w:r>
    </w:p>
    <w:p>
      <w:pPr>
        <w:spacing w:after="140" w:line="300"/>
        <w:jc w:val="both"/>
      </w:pPr>
      <w:r>
        <w:rPr>
          <w:rFonts w:ascii="Arial" w:cs="Arial" w:eastAsia="Arial" w:hAnsi="Arial"/>
        </w:rPr>
        <w:t xml:space="preserve">The draft gave the book its scope, and most of it is in the handbook in rewritten form: the definitions, the differences between English and Arabic, form and meaning, types of meaning, context, collocation, idioms, equivalence, literal and free translation, metaphor, the strategies, cultural approximation, descriptive translation, lexical creation, text analysis with the KUNA example, commentary, post-editing and many of the exercise items.</w:t>
      </w:r>
    </w:p>
    <w:p>
      <w:pPr>
        <w:spacing w:after="140" w:line="300"/>
        <w:jc w:val="both"/>
      </w:pPr>
      <w:r>
        <w:rPr>
          <w:rFonts w:ascii="Arial" w:cs="Arial" w:eastAsia="Arial" w:hAnsi="Arial"/>
        </w:rPr>
        <w:t xml:space="preserve">I merged topics that appeared in more than one place and wrote the empty sections (terminology, machine translation, the glossary and the references). I also corrected some errors, for example the Arabic given for “died”, the translation of “kick the bucket” and “mark my words”, “Bush’s puppy” (the press said “poodle”), the rule on Arabic word order, and two examples translated wrongly (</w:t>
      </w:r>
      <w:r>
        <w:rPr>
          <w:rFonts w:ascii="Arial" w:cs="Arial" w:eastAsia="Arial" w:hAnsi="Arial"/>
          <w:i/>
          <w:iCs/>
        </w:rPr>
        <w:t xml:space="preserve">the cake</w:t>
      </w:r>
      <w:r>
        <w:rPr>
          <w:rFonts w:ascii="Arial" w:cs="Arial" w:eastAsia="Arial" w:hAnsi="Arial"/>
        </w:rPr>
        <w:t xml:space="preserve"> given as </w:t>
      </w:r>
      <w:r>
        <w:rPr>
          <w:rFonts w:ascii="Arial" w:cs="Arial" w:hAnsi="Arial"/>
          <w:szCs w:val="23"/>
          <w:rtl/>
        </w:rPr>
        <w:t xml:space="preserve">التفاحة</w:t>
      </w:r>
      <w:r>
        <w:rPr>
          <w:rFonts w:ascii="Arial" w:cs="Arial" w:eastAsia="Arial" w:hAnsi="Arial"/>
        </w:rPr>
        <w:t xml:space="preserve">, and </w:t>
      </w:r>
      <w:r>
        <w:rPr>
          <w:rFonts w:ascii="Arial" w:cs="Arial" w:eastAsia="Arial" w:hAnsi="Arial"/>
          <w:i/>
          <w:iCs/>
        </w:rPr>
        <w:t xml:space="preserve">the Home Office</w:t>
      </w:r>
      <w:r>
        <w:rPr>
          <w:rFonts w:ascii="Arial" w:cs="Arial" w:eastAsia="Arial" w:hAnsi="Arial"/>
        </w:rPr>
        <w:t xml:space="preserve"> as a minister rather than a ministry). Colloquial Arabic was replaced with formal Arabic.</w:t>
      </w:r>
    </w:p>
    <w:p>
      <w:pPr>
        <w:spacing w:after="140" w:line="300"/>
        <w:jc w:val="both"/>
      </w:pPr>
      <w:r>
        <w:rPr>
          <w:rFonts w:ascii="Arial" w:cs="Arial" w:eastAsia="Arial" w:hAnsi="Arial"/>
        </w:rPr>
        <w:t xml:space="preserve">His 180 notes, Translation 1 notes and notes on Farghal &amp; Shunnaq reached me after the draft. They turned out to be its sources, so almost all of their content was already in the handbook. I added a few examples from them (</w:t>
      </w:r>
      <w:r>
        <w:rPr>
          <w:rFonts w:ascii="Arial" w:cs="Arial" w:eastAsia="Arial" w:hAnsi="Arial"/>
          <w:i/>
          <w:iCs/>
        </w:rPr>
        <w:t xml:space="preserve">weak coffee</w:t>
      </w:r>
      <w:r>
        <w:rPr>
          <w:rFonts w:ascii="Arial" w:cs="Arial" w:eastAsia="Arial" w:hAnsi="Arial"/>
        </w:rPr>
        <w:t xml:space="preserve">, </w:t>
      </w:r>
      <w:r>
        <w:rPr>
          <w:rFonts w:ascii="Arial" w:cs="Arial" w:eastAsia="Arial" w:hAnsi="Arial"/>
          <w:i/>
          <w:iCs/>
        </w:rPr>
        <w:t xml:space="preserve">a rough sea</w:t>
      </w:r>
      <w:r>
        <w:rPr>
          <w:rFonts w:ascii="Arial" w:cs="Arial" w:eastAsia="Arial" w:hAnsi="Arial"/>
        </w:rPr>
        <w:t xml:space="preserve">, </w:t>
      </w:r>
      <w:r>
        <w:rPr>
          <w:rFonts w:ascii="Arial" w:cs="Arial" w:eastAsia="Arial" w:hAnsi="Arial"/>
          <w:i/>
          <w:iCs/>
        </w:rPr>
        <w:t xml:space="preserve">to be in the red</w:t>
      </w:r>
      <w:r>
        <w:rPr>
          <w:rFonts w:ascii="Arial" w:cs="Arial" w:eastAsia="Arial" w:hAnsi="Arial"/>
        </w:rPr>
        <w:t xml:space="preserve">), and cited Farghal &amp; Shunnaq in the chapters that follow the book (Chapters 9, 11, 14, 15 and 16), using the 2011 edition the team worked from. The draft’s numbered exercises also come from this book.</w:t>
      </w:r>
    </w:p>
    <w:p>
      <w:pPr>
        <w:spacing w:after="140" w:line="300"/>
        <w:jc w:val="both"/>
      </w:pPr>
      <w:r>
        <w:rPr>
          <w:rFonts w:ascii="Arial" w:cs="Arial" w:eastAsia="Arial" w:hAnsi="Arial"/>
        </w:rPr>
        <w:t xml:space="preserve">I left out 51 items. Some were wrong or unclear (“Principles = Foundations”, “mule” as a synonym of “horse”) and would confuse a beginner. The figure of “74 fields” for the Jordanian academy could not be confirmed. A few examples were not neutral, such as a news agency described as biased, or a Qur’anic verse offered as the equivalent of an English proverb. The invented words (tribocracy, puppycracy) are not real English. Some exercise items were dropped only for space and could be used in a later exercise set.</w:t>
      </w:r>
    </w:p>
    <w:p>
      <w:pPr>
        <w:pStyle w:val="Heading2"/>
      </w:pPr>
      <w:r>
        <w:t xml:space="preserve">3.2 Plan and recommendations</w:t>
      </w:r>
    </w:p>
    <w:p>
      <w:pPr>
        <w:spacing w:after="140" w:line="300"/>
        <w:jc w:val="both"/>
      </w:pPr>
      <w:r>
        <w:rPr>
          <w:rFonts w:ascii="Arial" w:cs="Arial" w:eastAsia="Arial" w:hAnsi="Arial"/>
        </w:rPr>
        <w:t xml:space="preserve">Most of the plan was followed: the order from easy to hard, the missing strategies and types of translation, the seven procedures, the tips at the start, and the chapters on analysis, commentary, dictionaries, terminology, machine translation, genres, common mistakes and the risk matrix.</w:t>
      </w:r>
    </w:p>
    <w:p>
      <w:pPr>
        <w:spacing w:after="140" w:line="300"/>
        <w:jc w:val="both"/>
      </w:pPr>
      <w:r>
        <w:rPr>
          <w:rFonts w:ascii="Arial" w:cs="Arial" w:eastAsia="Arial" w:hAnsi="Arial"/>
        </w:rPr>
        <w:t xml:space="preserve">Some requests were only partly met. The glossary covers the terms listed at the end of each chapter but not every term mentioned in the text. News is taught through headlines rather than a full article, and the relational model appears as three practical questions in Chapter 19. The practice section, the checklists and the note on future editions were written and later removed (Section 7). A few requests could not be done: “the book” is not yet published, the 386 and Analysis texts did not reach me, and the checklist for the supervisor’s framework was not written. The text </w:t>
      </w:r>
      <w:r>
        <w:rPr>
          <w:rFonts w:ascii="Arial" w:cs="Arial" w:hAnsi="Arial"/>
          <w:szCs w:val="23"/>
          <w:rtl/>
        </w:rPr>
        <w:t xml:space="preserve">الترجمة: ماهيتها وكيفيتها</w:t>
      </w:r>
      <w:r>
        <w:rPr>
          <w:rFonts w:ascii="Arial" w:cs="Arial" w:eastAsia="Arial" w:hAnsi="Arial"/>
        </w:rPr>
        <w:t xml:space="preserve"> arrived late; it names no author, so it cannot be cited, and I took only two idioms from it (</w:t>
      </w:r>
      <w:r>
        <w:rPr>
          <w:rFonts w:ascii="Arial" w:cs="Arial" w:eastAsia="Arial" w:hAnsi="Arial"/>
          <w:i/>
          <w:iCs/>
        </w:rPr>
        <w:t xml:space="preserve">He looks blue</w:t>
      </w:r>
      <w:r>
        <w:rPr>
          <w:rFonts w:ascii="Arial" w:cs="Arial" w:eastAsia="Arial" w:hAnsi="Arial"/>
        </w:rPr>
        <w:t xml:space="preserve">, </w:t>
      </w:r>
      <w:r>
        <w:rPr>
          <w:rFonts w:ascii="Arial" w:cs="Arial" w:eastAsia="Arial" w:hAnsi="Arial"/>
          <w:i/>
          <w:iCs/>
        </w:rPr>
        <w:t xml:space="preserve">I will go bananas</w:t>
      </w:r>
      <w:r>
        <w:rPr>
          <w:rFonts w:ascii="Arial" w:cs="Arial" w:eastAsia="Arial" w:hAnsi="Arial"/>
        </w:rPr>
        <w:t xml:space="preserve">).</w:t>
      </w:r>
    </w:p>
    <w:p>
      <w:pPr>
        <w:pStyle w:val="Heading2"/>
      </w:pPr>
      <w:r>
        <w:t xml:space="preserve">3.3 Text Analysis Model</w:t>
      </w:r>
    </w:p>
    <w:p>
      <w:pPr>
        <w:spacing w:after="140" w:line="300"/>
        <w:jc w:val="both"/>
      </w:pPr>
      <w:r>
        <w:rPr>
          <w:rFonts w:ascii="Arial" w:cs="Arial" w:eastAsia="Arial" w:hAnsi="Arial"/>
        </w:rPr>
        <w:t xml:space="preserve">The whole model is used. Chapter 17 now follows its two levels, linguistic (micro and macro) and external, and Chapter 25 asks students to go back to their analysis when writing the commentary. The source the model is based on, Fairclough (2003), was added to the references. I left out terms such as blending, clipping, frame-modification, re-modelling, Al-ta’reed, monitoring, and intrinsic and extrinsic managing, which are too advanced for a first handbook.</w:t>
      </w:r>
    </w:p>
    <w:p>
      <w:pPr>
        <w:pStyle w:val="Heading1"/>
      </w:pPr>
      <w:r>
        <w:t xml:space="preserve">4. Masooma Almesri</w:t>
      </w:r>
    </w:p>
    <w:p>
      <w:pPr>
        <w:spacing w:after="140" w:line="300"/>
        <w:jc w:val="both"/>
      </w:pPr>
      <w:r>
        <w:rPr>
          <w:rFonts w:ascii="Arial" w:cs="Arial" w:eastAsia="Arial" w:hAnsi="Arial"/>
        </w:rPr>
        <w:t xml:space="preserve">Chapter 21 is built on the terminology chapter, which was selected from Masooma’s course slides. It keeps the definition of terminology, the difference between a translator and a terminologist, why terms need to be managed, short forms, what makes a good term, the Arabic language academies, how to translate a term, term lists, termbases, and the rule of one term for one idea.</w:t>
      </w:r>
    </w:p>
    <w:p>
      <w:pPr>
        <w:spacing w:after="140" w:line="300"/>
        <w:jc w:val="both"/>
      </w:pPr>
      <w:r>
        <w:rPr>
          <w:rFonts w:ascii="Arial" w:cs="Arial" w:eastAsia="Arial" w:hAnsi="Arial"/>
        </w:rPr>
        <w:t xml:space="preserve">I corrected the definition of a terminologist and a few historical details, then cut the history and schools of terminology, the categories of terms, most of the nine naming rules and the standardisation bodies, since beginners do not need them. The academies’ detailed methods were also left out as too detailed; I first thought they had no source, but they come from her slides. When the slides reached me, I checked Chapter 21 against them and added a few of their examples: </w:t>
      </w:r>
      <w:r>
        <w:rPr>
          <w:rFonts w:ascii="Arial" w:cs="Arial" w:hAnsi="Arial"/>
          <w:szCs w:val="23"/>
          <w:rtl/>
        </w:rPr>
        <w:t xml:space="preserve">عقارب الساعة</w:t>
      </w:r>
      <w:r>
        <w:rPr>
          <w:rFonts w:ascii="Arial" w:cs="Arial" w:eastAsia="Arial" w:hAnsi="Arial"/>
        </w:rPr>
        <w:t xml:space="preserve">, </w:t>
      </w:r>
      <w:r>
        <w:rPr>
          <w:rFonts w:ascii="Arial" w:cs="Arial" w:eastAsia="Arial" w:hAnsi="Arial"/>
          <w:i/>
          <w:iCs/>
        </w:rPr>
        <w:t xml:space="preserve">a throbbing headache</w:t>
      </w:r>
      <w:r>
        <w:rPr>
          <w:rFonts w:ascii="Arial" w:cs="Arial" w:eastAsia="Arial" w:hAnsi="Arial"/>
        </w:rPr>
        <w:t xml:space="preserve">, </w:t>
      </w:r>
      <w:r>
        <w:rPr>
          <w:rFonts w:ascii="Arial" w:cs="Arial" w:hAnsi="Arial"/>
          <w:szCs w:val="23"/>
          <w:rtl/>
        </w:rPr>
        <w:t xml:space="preserve">الاستمطار</w:t>
      </w:r>
      <w:r>
        <w:rPr>
          <w:rFonts w:ascii="Arial" w:cs="Arial" w:eastAsia="Arial" w:hAnsi="Arial"/>
        </w:rPr>
        <w:t xml:space="preserve">, </w:t>
      </w:r>
      <w:r>
        <w:rPr>
          <w:rFonts w:ascii="Arial" w:cs="Arial" w:hAnsi="Arial"/>
          <w:szCs w:val="23"/>
          <w:rtl/>
        </w:rPr>
        <w:t xml:space="preserve">قطار</w:t>
      </w:r>
      <w:r>
        <w:rPr>
          <w:rFonts w:ascii="Arial" w:cs="Arial" w:eastAsia="Arial" w:hAnsi="Arial"/>
        </w:rPr>
        <w:t xml:space="preserve">, affixes such as </w:t>
      </w:r>
      <w:r>
        <w:rPr>
          <w:rFonts w:ascii="Arial" w:cs="Arial" w:eastAsia="Arial" w:hAnsi="Arial"/>
          <w:i/>
          <w:iCs/>
        </w:rPr>
        <w:t xml:space="preserve">manageable</w:t>
      </w:r>
      <w:r>
        <w:rPr>
          <w:rFonts w:ascii="Arial" w:cs="Arial" w:eastAsia="Arial" w:hAnsi="Arial"/>
        </w:rPr>
        <w:t xml:space="preserve"> and </w:t>
      </w:r>
      <w:r>
        <w:rPr>
          <w:rFonts w:ascii="Arial" w:cs="Arial" w:eastAsia="Arial" w:hAnsi="Arial"/>
          <w:i/>
          <w:iCs/>
        </w:rPr>
        <w:t xml:space="preserve">antibiotic</w:t>
      </w:r>
      <w:r>
        <w:rPr>
          <w:rFonts w:ascii="Arial" w:cs="Arial" w:eastAsia="Arial" w:hAnsi="Arial"/>
        </w:rPr>
        <w:t xml:space="preserve">, and the redundant term </w:t>
      </w:r>
      <w:r>
        <w:rPr>
          <w:rFonts w:ascii="Arial" w:cs="Arial" w:hAnsi="Arial"/>
          <w:szCs w:val="23"/>
          <w:rtl/>
        </w:rPr>
        <w:t xml:space="preserve">التطرّف الراديكالي</w:t>
      </w:r>
      <w:r>
        <w:rPr>
          <w:rFonts w:ascii="Arial" w:cs="Arial" w:eastAsia="Arial" w:hAnsi="Arial"/>
        </w:rPr>
        <w:t xml:space="preserve">. The chapter itself cited no sources, so I added them, together with UNTERM, Arabterm, a sample term list and medical examples.</w:t>
      </w:r>
    </w:p>
    <w:p>
      <w:pPr>
        <w:spacing w:after="140" w:line="300"/>
        <w:jc w:val="both"/>
      </w:pPr>
      <w:r>
        <w:rPr>
          <w:rFonts w:ascii="Arial" w:cs="Arial" w:eastAsia="Arial" w:hAnsi="Arial"/>
        </w:rPr>
        <w:t xml:space="preserve">Chapter 2, “Tips, advice and preparation”, follows her suggestion of an opening chapter that prepares students before they start. Several idioms on her list, such as </w:t>
      </w:r>
      <w:r>
        <w:rPr>
          <w:rFonts w:ascii="Arial" w:cs="Arial" w:eastAsia="Arial" w:hAnsi="Arial"/>
          <w:i/>
          <w:iCs/>
        </w:rPr>
        <w:t xml:space="preserve">spill the beans</w:t>
      </w:r>
      <w:r>
        <w:rPr>
          <w:rFonts w:ascii="Arial" w:cs="Arial" w:eastAsia="Arial" w:hAnsi="Arial"/>
        </w:rPr>
        <w:t xml:space="preserve"> and </w:t>
      </w:r>
      <w:r>
        <w:rPr>
          <w:rFonts w:ascii="Arial" w:cs="Arial" w:eastAsia="Arial" w:hAnsi="Arial"/>
          <w:i/>
          <w:iCs/>
        </w:rPr>
        <w:t xml:space="preserve">raining cats and dogs</w:t>
      </w:r>
      <w:r>
        <w:rPr>
          <w:rFonts w:ascii="Arial" w:cs="Arial" w:eastAsia="Arial" w:hAnsi="Arial"/>
        </w:rPr>
        <w:t xml:space="preserve">, are already in Chapter 8; most of the others are American slang, so I did not add them.</w:t>
      </w:r>
    </w:p>
    <w:p>
      <w:pPr>
        <w:pStyle w:val="Heading1"/>
      </w:pPr>
      <w:r>
        <w:t xml:space="preserve">5. Loulwah Bin Saeed</w:t>
      </w:r>
    </w:p>
    <w:p>
      <w:pPr>
        <w:spacing w:after="140" w:line="300"/>
        <w:jc w:val="both"/>
      </w:pPr>
      <w:r>
        <w:rPr>
          <w:rFonts w:ascii="Arial" w:cs="Arial" w:eastAsia="Arial" w:hAnsi="Arial"/>
        </w:rPr>
        <w:t xml:space="preserve">Chapters 26 and 27 come mainly from the audiovisual translation notes: why the field matters, its main types, dubbing, the idea that purpose comes first, subtitles, the link between words, images and sound, language variety, cultural references, subtitling strategies and taboo language.</w:t>
      </w:r>
    </w:p>
    <w:p>
      <w:pPr>
        <w:spacing w:after="140" w:line="300"/>
        <w:jc w:val="both"/>
      </w:pPr>
      <w:r>
        <w:rPr>
          <w:rFonts w:ascii="Arial" w:cs="Arial" w:eastAsia="Arial" w:hAnsi="Arial"/>
        </w:rPr>
        <w:t xml:space="preserve">I merged the two lists of subtitling strategies into one, corrected the spelling of Vermeer, Díaz Cintas and Remael, and changed the line length to the usual 37 to 39 characters (up to 42 on streaming platforms). The history of the field, three of the four theories, the summary on the Arab world and the YouTube links were not used: the theory goes beyond what a beginner needs, and links stop working in print. I added subtitle timing, subtitles for the deaf and hard of hearing, a five-step method, a worked example and rules for Arabic subtitles.</w:t>
      </w:r>
    </w:p>
    <w:p>
      <w:pPr>
        <w:spacing w:after="140" w:line="300"/>
        <w:jc w:val="both"/>
      </w:pPr>
      <w:r>
        <w:rPr>
          <w:rFonts w:ascii="Arial" w:cs="Arial" w:eastAsia="Arial" w:hAnsi="Arial"/>
        </w:rPr>
        <w:t xml:space="preserve">Loulwah posted the audiovisual files herself, which confirms they are her notes. Her other notes were lost, and her Principles of Translation notes did not reach me, so Chapters 10, 13, 20 and 22 were written from published sources. Her idiom list could not be used without corrections, and Chapter 8 already covers the common idioms.</w:t>
      </w:r>
    </w:p>
    <w:p>
      <w:pPr>
        <w:pStyle w:val="Heading1"/>
      </w:pPr>
      <w:r>
        <w:t xml:space="preserve">6. My own part</w:t>
      </w:r>
    </w:p>
    <w:p>
      <w:pPr>
        <w:spacing w:after="140" w:line="300"/>
        <w:jc w:val="both"/>
      </w:pPr>
      <w:r>
        <w:rPr>
          <w:rFonts w:ascii="Arial" w:cs="Arial" w:eastAsia="Arial" w:hAnsi="Arial"/>
        </w:rPr>
        <w:t xml:space="preserve">I planned the structure (9 parts, 27 chapters), rewrote every chapter as a guided lesson, wrote the opening section for complete beginners, and proofread the whole book twice. My study notes went into Chapters 1, 3, 5, 6, 7, 8, 13, 16, 18, 21, 22 and 26, for example the three kinds of translation, the verbs </w:t>
      </w:r>
      <w:r>
        <w:rPr>
          <w:rFonts w:ascii="Arial" w:cs="Arial" w:eastAsia="Arial" w:hAnsi="Arial"/>
          <w:i/>
          <w:iCs/>
        </w:rPr>
        <w:t xml:space="preserve">be</w:t>
      </w:r>
      <w:r>
        <w:rPr>
          <w:rFonts w:ascii="Arial" w:cs="Arial" w:eastAsia="Arial" w:hAnsi="Arial"/>
        </w:rPr>
        <w:t xml:space="preserve">, </w:t>
      </w:r>
      <w:r>
        <w:rPr>
          <w:rFonts w:ascii="Arial" w:cs="Arial" w:eastAsia="Arial" w:hAnsi="Arial"/>
          <w:i/>
          <w:iCs/>
        </w:rPr>
        <w:t xml:space="preserve">do</w:t>
      </w:r>
      <w:r>
        <w:rPr>
          <w:rFonts w:ascii="Arial" w:cs="Arial" w:eastAsia="Arial" w:hAnsi="Arial"/>
        </w:rPr>
        <w:t xml:space="preserve"> and </w:t>
      </w:r>
      <w:r>
        <w:rPr>
          <w:rFonts w:ascii="Arial" w:cs="Arial" w:eastAsia="Arial" w:hAnsi="Arial"/>
          <w:i/>
          <w:iCs/>
        </w:rPr>
        <w:t xml:space="preserve">have</w:t>
      </w:r>
      <w:r>
        <w:rPr>
          <w:rFonts w:ascii="Arial" w:cs="Arial" w:eastAsia="Arial" w:hAnsi="Arial"/>
        </w:rPr>
        <w:t xml:space="preserve">, problems with single words, idioms, news headlines, CAT tools, localisation and the Arabic dubbing of </w:t>
      </w:r>
      <w:r>
        <w:rPr>
          <w:rFonts w:ascii="Arial" w:cs="Arial" w:eastAsia="Arial" w:hAnsi="Arial"/>
          <w:i/>
          <w:iCs/>
        </w:rPr>
        <w:t xml:space="preserve">The Simpsons</w:t>
      </w:r>
      <w:r>
        <w:rPr>
          <w:rFonts w:ascii="Arial" w:cs="Arial" w:eastAsia="Arial" w:hAnsi="Arial"/>
        </w:rPr>
        <w:t xml:space="preserve">. Where the team’s material had gaps, I added sections from published sources, among them the seven procedures, communicative translation, explicitation and implicitation, genres, dictionaries, common mistakes and the risk matrix. I also designed the two covers, the layout, the QR code and the team’s website.</w:t>
      </w:r>
    </w:p>
    <w:p>
      <w:pPr>
        <w:pStyle w:val="Heading1"/>
      </w:pPr>
      <w:r>
        <w:t xml:space="preserve">7. What I removed, and why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10"/>
        <w:gridCol w:w="5261"/>
      </w:tblGrid>
      <w:tr>
        <w:trPr>
          <w:tblHeader/>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Removed</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Reason</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section and answer key</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long for a handbook; each chapter still ends with questions and answers.</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 checklists</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repeated the chapter summaries.</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Note on future editions</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printed book cannot keep being updated; the website carries later material instead.</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Scholars’ names in the text</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Easier to read; the citations in brackets remain.</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to the course and the lecturer</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is meant to be used on its own.</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descriptions and about a third of the text</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Repetition and long explanations made the pages heavy.</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Concepts repeated from my notes</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Each concept appears once; the examples were kept.</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Placeholders, the empty Dr Abdullah checklist, unconfirmed reviewers and the Guild Season</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final or not confirmed.</w:t>
            </w:r>
          </w:p>
        </w:tc>
      </w:tr>
    </w:tbl>
    <w:p>
      <w:pPr>
        <w:spacing w:after="160"/>
      </w:pPr>
    </w:p>
    <w:p>
      <w:pPr>
        <w:pStyle w:val="Heading1"/>
      </w:pPr>
      <w:r>
        <w:t xml:space="preserve">8. My view</w:t>
      </w:r>
    </w:p>
    <w:p>
      <w:pPr>
        <w:spacing w:after="140" w:line="300"/>
        <w:jc w:val="both"/>
      </w:pPr>
      <w:r>
        <w:rPr>
          <w:rFonts w:ascii="Arial" w:cs="Arial" w:eastAsia="Arial" w:hAnsi="Arial"/>
        </w:rPr>
        <w:t xml:space="preserve">The team’s documents covered nearly everything the handbook needed. The draft followed the syllabus closely, and the terminology and audiovisual notes were detailed. What they needed was correction, shortening and a single order. The draft repeated itself, some examples were inaccurate and several claims had no source, while the specialist notes were written at a level above a beginner. Most of my work went into fixing these points and filling the gaps.</w:t>
      </w:r>
    </w:p>
    <w:p>
      <w:pPr>
        <w:spacing w:after="140" w:line="300"/>
        <w:jc w:val="both"/>
      </w:pPr>
      <w:r>
        <w:rPr>
          <w:rFonts w:ascii="Arial" w:cs="Arial" w:eastAsia="Arial" w:hAnsi="Arial"/>
        </w:rPr>
        <w:t xml:space="preserve">In my opinion the handbook is ready for a final read by a native Arabic specialist, and for the supervisor’s approval once the points below and those in Section 7 of the Final Report are settled.</w:t>
      </w:r>
    </w:p>
    <w:p>
      <w:pPr>
        <w:pStyle w:val="Heading1"/>
      </w:pPr>
      <w:r>
        <w:t xml:space="preserve">9. Still to confirm</w:t>
      </w:r>
    </w:p>
    <w:p>
      <w:pPr>
        <w:pStyle w:val="ListParagraph"/>
        <w:numPr>
          <w:ilvl w:val="0"/>
          <w:numId w:val="2"/>
        </w:numPr>
        <w:spacing w:after="80" w:line="290"/>
      </w:pPr>
      <w:r>
        <w:rPr>
          <w:rFonts w:ascii="Arial" w:cs="Arial" w:eastAsia="Arial" w:hAnsi="Arial"/>
          <w:color w:val="C00000"/>
        </w:rPr>
        <w:t xml:space="preserve">Names and roles on the Contributors list (page iv).</w:t>
      </w:r>
    </w:p>
    <w:p>
      <w:pPr>
        <w:pStyle w:val="ListParagraph"/>
        <w:numPr>
          <w:ilvl w:val="0"/>
          <w:numId w:val="2"/>
        </w:numPr>
        <w:spacing w:after="80" w:line="290"/>
      </w:pPr>
      <w:r>
        <w:rPr>
          <w:rFonts w:ascii="Arial" w:cs="Arial" w:eastAsia="Arial" w:hAnsi="Arial"/>
          <w:color w:val="C00000"/>
        </w:rPr>
        <w:t xml:space="preserve">Whether to list all four contributors alphabetically, as the framework agreed, and whether to name the academic supervisor, Abdullah Bezea.</w:t>
      </w:r>
    </w:p>
    <w:p>
      <w:pPr>
        <w:pStyle w:val="ListParagraph"/>
        <w:numPr>
          <w:ilvl w:val="0"/>
          <w:numId w:val="2"/>
        </w:numPr>
        <w:spacing w:after="80" w:line="290"/>
      </w:pPr>
      <w:r>
        <w:rPr>
          <w:rFonts w:ascii="Arial" w:cs="Arial" w:eastAsia="Arial" w:hAnsi="Arial"/>
          <w:color w:val="C00000"/>
        </w:rPr>
        <w:t xml:space="preserve">The club’s official name: the handbook says “Guild Professional Club”; the team’s main document says “The Professional English Club: Guild”.</w:t>
      </w:r>
    </w:p>
    <w:p>
      <w:pPr>
        <w:pStyle w:val="ListParagraph"/>
        <w:numPr>
          <w:ilvl w:val="0"/>
          <w:numId w:val="2"/>
        </w:numPr>
        <w:spacing w:after="80" w:line="290"/>
      </w:pPr>
      <w:r>
        <w:rPr>
          <w:rFonts w:ascii="Arial" w:cs="Arial" w:eastAsia="Arial" w:hAnsi="Arial"/>
          <w:color w:val="C00000"/>
        </w:rPr>
        <w:t xml:space="preserve">Whether Samiuallah Mohammad should be listed under supervision.</w:t>
      </w:r>
    </w:p>
    <w:p>
      <w:pPr>
        <w:pStyle w:val="ListParagraph"/>
        <w:numPr>
          <w:ilvl w:val="0"/>
          <w:numId w:val="2"/>
        </w:numPr>
        <w:spacing w:after="80" w:line="290"/>
      </w:pPr>
      <w:r>
        <w:rPr>
          <w:rFonts w:ascii="Arial" w:cs="Arial" w:eastAsia="Arial" w:hAnsi="Arial"/>
          <w:color w:val="C00000"/>
        </w:rPr>
        <w:t xml:space="preserve">Any member not yet listed, and their contribution.</w:t>
      </w:r>
    </w:p>
    <w:p>
      <w:pPr>
        <w:pStyle w:val="ListParagraph"/>
        <w:numPr>
          <w:ilvl w:val="0"/>
          <w:numId w:val="2"/>
        </w:numPr>
        <w:spacing w:after="80" w:line="290"/>
      </w:pPr>
      <w:r>
        <w:rPr>
          <w:rFonts w:ascii="Arial" w:cs="Arial" w:eastAsia="Arial" w:hAnsi="Arial"/>
          <w:color w:val="C00000"/>
        </w:rPr>
        <w:t xml:space="preserve">Whether the material not yet received should go into this edition.</w:t>
      </w:r>
    </w:p>
    <w:p>
      <w:pPr>
        <w:spacing w:after="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Contributions Report: Translation Handbook</dc:title>
  <dc:creator>Guild Translation Team</dc:creator>
  <cp:lastModifiedBy>Un-named</cp:lastModifiedBy>
  <cp:revision>1</cp:revision>
  <dcterms:created xsi:type="dcterms:W3CDTF">2026-09-25T20:52:30.404Z</dcterms:created>
  <dcterms:modified xsi:type="dcterms:W3CDTF">2026-09-25T20:52:30.404Z</dcterms:modified>
</cp:coreProperties>
</file>

<file path=docProps/custom.xml><?xml version="1.0" encoding="utf-8"?>
<Properties xmlns="http://schemas.openxmlformats.org/officeDocument/2006/custom-properties" xmlns:vt="http://schemas.openxmlformats.org/officeDocument/2006/docPropsVTypes"/>
</file>