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Expert Review: Correction Log</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spacing w:after="140" w:line="300"/>
        <w:jc w:val="both"/>
      </w:pPr>
      <w:r>
        <w:rPr>
          <w:rFonts w:ascii="Arial" w:cs="Arial" w:eastAsia="Arial" w:hAnsi="Arial"/>
        </w:rPr>
        <w:t xml:space="preserve">This log records every correction made to the Translation Handbook during the expert review carried out before publication. The review was prompted by an error found on the first page of Chapter 1. The whole book was then reviewed, in both languages, for errors of concept and fact, Arabic language and terminology, examples, consistency, repetition, English, neutrality and citations.</w:t>
      </w:r>
    </w:p>
    <w:p>
      <w:pPr>
        <w:pStyle w:val="Heading1"/>
      </w:pPr>
      <w:r>
        <w:t xml:space="preserve">2. Summary</w:t>
      </w:r>
    </w:p>
    <w:p>
      <w:pPr>
        <w:pStyle w:val="ListParagraph"/>
        <w:numPr>
          <w:ilvl w:val="0"/>
          <w:numId w:val="2"/>
        </w:numPr>
        <w:spacing w:after="80" w:line="290"/>
      </w:pPr>
      <w:r>
        <w:rPr>
          <w:rFonts w:ascii="Arial" w:cs="Arial" w:eastAsia="Arial" w:hAnsi="Arial"/>
          <w:b/>
          <w:bCs/>
        </w:rPr>
        <w:t xml:space="preserve">192 corrections</w:t>
      </w:r>
      <w:r>
        <w:rPr>
          <w:rFonts w:ascii="Arial" w:cs="Arial" w:eastAsia="Arial" w:hAnsi="Arial"/>
        </w:rPr>
        <w:t xml:space="preserve"> were made: 23 of high importance, 76 of medium importance and 93 minor.</w:t>
      </w:r>
    </w:p>
    <w:p>
      <w:pPr>
        <w:pStyle w:val="ListParagraph"/>
        <w:numPr>
          <w:ilvl w:val="0"/>
          <w:numId w:val="2"/>
        </w:numPr>
        <w:spacing w:after="80" w:line="290"/>
      </w:pPr>
      <w:r>
        <w:rPr>
          <w:rFonts w:ascii="Arial" w:cs="Arial" w:eastAsia="Arial" w:hAnsi="Arial"/>
        </w:rPr>
        <w:t xml:space="preserve">By type: Concept or fact 58; Consistency 43; Example 28; English 26; Arabic 24; Neutrality and sensitivity 6; Citation 5; Repetition 2.</w:t>
      </w:r>
    </w:p>
    <w:p>
      <w:pPr>
        <w:pStyle w:val="ListParagraph"/>
        <w:numPr>
          <w:ilvl w:val="0"/>
          <w:numId w:val="2"/>
        </w:numPr>
        <w:spacing w:after="80" w:line="290"/>
      </w:pPr>
      <w:r>
        <w:rPr>
          <w:rFonts w:ascii="Arial" w:cs="Arial" w:eastAsia="Arial" w:hAnsi="Arial"/>
        </w:rPr>
        <w:t xml:space="preserve">Three proposed changes were rejected because they would have introduced a new inaccuracy or removed draft material; they are not listed.</w:t>
      </w:r>
    </w:p>
    <w:p>
      <w:pPr>
        <w:pStyle w:val="ListParagraph"/>
        <w:numPr>
          <w:ilvl w:val="0"/>
          <w:numId w:val="2"/>
        </w:numPr>
        <w:spacing w:after="80" w:line="290"/>
      </w:pPr>
      <w:r>
        <w:rPr>
          <w:rFonts w:ascii="Arial" w:cs="Arial" w:eastAsia="Arial" w:hAnsi="Arial"/>
          <w:b/>
          <w:bCs/>
        </w:rPr>
        <w:t xml:space="preserve">18 points</w:t>
      </w:r>
      <w:r>
        <w:rPr>
          <w:rFonts w:ascii="Arial" w:cs="Arial" w:eastAsia="Arial" w:hAnsi="Arial"/>
        </w:rPr>
        <w:t xml:space="preserve"> could not be settled without the printed sources and are listed in Section 4 for the team to check.</w:t>
      </w:r>
    </w:p>
    <w:p>
      <w:pPr>
        <w:pStyle w:val="ListParagraph"/>
        <w:numPr>
          <w:ilvl w:val="0"/>
          <w:numId w:val="2"/>
        </w:numPr>
        <w:spacing w:after="80" w:line="290"/>
      </w:pPr>
      <w:r>
        <w:rPr>
          <w:rFonts w:ascii="Arial" w:cs="Arial" w:eastAsia="Arial" w:hAnsi="Arial"/>
        </w:rPr>
        <w:t xml:space="preserve">After the corrections, all Arabic examples and all 39 cited sources were checked again and are still in the handbook.</w:t>
      </w:r>
    </w:p>
    <w:p>
      <w:pPr>
        <w:spacing w:after="60"/>
      </w:pPr>
    </w:p>
    <w:p>
      <w:pPr>
        <w:pStyle w:val="Heading2"/>
      </w:pPr>
      <w:r>
        <w:t xml:space="preserve">2.1 The most important corrections</w:t>
      </w:r>
    </w:p>
    <w:p>
      <w:pPr>
        <w:pStyle w:val="ListParagraph"/>
        <w:numPr>
          <w:ilvl w:val="0"/>
          <w:numId w:val="3"/>
        </w:numPr>
        <w:spacing w:after="80" w:line="290"/>
      </w:pPr>
      <w:r>
        <w:rPr>
          <w:rFonts w:ascii="Arial" w:cs="Arial" w:eastAsia="Arial" w:hAnsi="Arial"/>
        </w:rPr>
        <w:t xml:space="preserve">A freelancer was given as an example of a commissioned translator, and the exercise repeated this; the difference is now explained as who chooses the text, and the exercise was rewritten. (Chapter 1)</w:t>
      </w:r>
    </w:p>
    <w:p>
      <w:pPr>
        <w:pStyle w:val="ListParagraph"/>
        <w:numPr>
          <w:ilvl w:val="0"/>
          <w:numId w:val="3"/>
        </w:numPr>
        <w:spacing w:after="80" w:line="290"/>
      </w:pPr>
      <w:r>
        <w:rPr>
          <w:rFonts w:ascii="Arial" w:cs="Arial" w:eastAsia="Arial" w:hAnsi="Arial"/>
        </w:rPr>
        <w:t xml:space="preserve">The key term glosses the general word “translation” as written translation only, but the chapter treats translation as the umbrella term (interpreting, sight translation and AVT are listed as “Types of translation”, and both quoted definitions are general). (Chapter 1)</w:t>
      </w:r>
    </w:p>
    <w:p>
      <w:pPr>
        <w:pStyle w:val="ListParagraph"/>
        <w:numPr>
          <w:ilvl w:val="0"/>
          <w:numId w:val="3"/>
        </w:numPr>
        <w:spacing w:after="80" w:line="290"/>
      </w:pPr>
      <w:r>
        <w:rPr>
          <w:rFonts w:ascii="Arial" w:cs="Arial" w:eastAsia="Arial" w:hAnsi="Arial"/>
        </w:rPr>
        <w:t xml:space="preserve">It is a false generalisation that Arabic “usually” starts with the verb: the nominal sentence (جملة اسمية) with SVO order is fully grammatical and very common in MSA; VSO is only the preferred unmarked order in formal writing. (Chapter 3)</w:t>
      </w:r>
    </w:p>
    <w:p>
      <w:pPr>
        <w:pStyle w:val="ListParagraph"/>
        <w:numPr>
          <w:ilvl w:val="0"/>
          <w:numId w:val="3"/>
        </w:numPr>
        <w:spacing w:after="80" w:line="290"/>
      </w:pPr>
      <w:r>
        <w:rPr>
          <w:rFonts w:ascii="Arial" w:cs="Arial" w:hAnsi="Arial"/>
          <w:szCs w:val="23"/>
          <w:rtl/>
        </w:rPr>
        <w:t xml:space="preserve">سام أكل الكعكة</w:t>
      </w:r>
      <w:r>
        <w:rPr>
          <w:rFonts w:ascii="Arial" w:cs="Arial" w:eastAsia="Arial" w:hAnsi="Arial"/>
        </w:rPr>
        <w:t xml:space="preserve"> is a grammatical Arabic nominal sentence (it puts the focus on Sam), so marking it ✗ (“a poor translation”) teaches beginners that correct Arabic is wrong. (Chapter 3)</w:t>
      </w:r>
    </w:p>
    <w:p>
      <w:pPr>
        <w:pStyle w:val="ListParagraph"/>
        <w:numPr>
          <w:ilvl w:val="0"/>
          <w:numId w:val="3"/>
        </w:numPr>
        <w:spacing w:after="80" w:line="290"/>
      </w:pPr>
      <w:r>
        <w:rPr>
          <w:rFonts w:ascii="Arial" w:cs="Arial" w:eastAsia="Arial" w:hAnsi="Arial"/>
        </w:rPr>
        <w:t xml:space="preserve">It presents </w:t>
      </w:r>
      <w:r>
        <w:rPr>
          <w:rFonts w:ascii="Arial" w:cs="Arial" w:hAnsi="Arial"/>
          <w:szCs w:val="23"/>
          <w:rtl/>
        </w:rPr>
        <w:t xml:space="preserve">يُعدّ/تُعدّ</w:t>
      </w:r>
      <w:r>
        <w:rPr>
          <w:rFonts w:ascii="Arial" w:cs="Arial" w:eastAsia="Arial" w:hAnsi="Arial"/>
        </w:rPr>
        <w:t xml:space="preserve"> (“is considered”) as the Arabic equivalent of “is”, which adds a meaning and encourages a well-known translationese habit; the normal Arabic equivalent is a nominal sentence without a verb. “When is is the main verb” is also unclear. (Chapter 3)</w:t>
      </w:r>
    </w:p>
    <w:p>
      <w:pPr>
        <w:pStyle w:val="ListParagraph"/>
        <w:numPr>
          <w:ilvl w:val="0"/>
          <w:numId w:val="3"/>
        </w:numPr>
        <w:spacing w:after="80" w:line="290"/>
      </w:pPr>
      <w:r>
        <w:rPr>
          <w:rFonts w:ascii="Arial" w:cs="Arial" w:eastAsia="Arial" w:hAnsi="Arial"/>
        </w:rPr>
        <w:t xml:space="preserve">The explanation is wrong: _heavy_ becomes the adverbial phrase </w:t>
      </w:r>
      <w:r>
        <w:rPr>
          <w:rFonts w:ascii="Arial" w:cs="Arial" w:hAnsi="Arial"/>
          <w:szCs w:val="23"/>
          <w:rtl/>
        </w:rPr>
        <w:t xml:space="preserve">بشراهة</w:t>
      </w:r>
      <w:r>
        <w:rPr>
          <w:rFonts w:ascii="Arial" w:cs="Arial" w:eastAsia="Arial" w:hAnsi="Arial"/>
        </w:rPr>
        <w:t xml:space="preserve">; it is _smoker_ that becomes a verb. (Chapter 4)</w:t>
      </w:r>
    </w:p>
    <w:p>
      <w:pPr>
        <w:pStyle w:val="ListParagraph"/>
        <w:numPr>
          <w:ilvl w:val="0"/>
          <w:numId w:val="3"/>
        </w:numPr>
        <w:spacing w:after="80" w:line="290"/>
      </w:pPr>
      <w:r>
        <w:rPr>
          <w:rFonts w:ascii="Arial" w:cs="Arial" w:eastAsia="Arial" w:hAnsi="Arial"/>
        </w:rPr>
        <w:t xml:space="preserve">By the chapter's own definitions a plain non-idiomatic rendering is ideational, not functional; the Arabic also dropped the modal _should_. (Chapter 9)</w:t>
      </w:r>
    </w:p>
    <w:p>
      <w:pPr>
        <w:pStyle w:val="ListParagraph"/>
        <w:numPr>
          <w:ilvl w:val="0"/>
          <w:numId w:val="3"/>
        </w:numPr>
        <w:spacing w:after="80" w:line="290"/>
      </w:pPr>
      <w:r>
        <w:rPr>
          <w:rFonts w:ascii="Arial" w:cs="Arial" w:eastAsia="Arial" w:hAnsi="Arial"/>
        </w:rPr>
        <w:t xml:space="preserve">In English _see the light_ means 'to understand or be converted'; 'be published' is _see the light of day_, so the example of a shared metaphor is an Arabism. </w:t>
      </w:r>
      <w:r>
        <w:rPr>
          <w:rFonts w:ascii="Arial" w:cs="Arial" w:hAnsi="Arial"/>
          <w:szCs w:val="23"/>
          <w:rtl/>
        </w:rPr>
        <w:t xml:space="preserve">المقبل</w:t>
      </w:r>
      <w:r>
        <w:rPr>
          <w:rFonts w:ascii="Arial" w:cs="Arial" w:eastAsia="Arial" w:hAnsi="Arial"/>
        </w:rPr>
        <w:t xml:space="preserve"> is also the preferred form for 'next'. (Chapter 11)</w:t>
      </w:r>
    </w:p>
    <w:p>
      <w:pPr>
        <w:pStyle w:val="ListParagraph"/>
        <w:numPr>
          <w:ilvl w:val="0"/>
          <w:numId w:val="3"/>
        </w:numPr>
        <w:spacing w:after="80" w:line="290"/>
      </w:pPr>
      <w:r>
        <w:rPr>
          <w:rFonts w:ascii="Arial" w:cs="Arial" w:hAnsi="Arial"/>
          <w:szCs w:val="23"/>
          <w:rtl/>
        </w:rPr>
        <w:t xml:space="preserve">كلمة مفتاحية</w:t>
      </w:r>
      <w:r>
        <w:rPr>
          <w:rFonts w:ascii="Arial" w:cs="Arial" w:eastAsia="Arial" w:hAnsi="Arial"/>
        </w:rPr>
        <w:t xml:space="preserve"> is itself a literal translation of _key word_, so it cannot illustrate that 'literal translation often fails'; the definition also ignores the literal half of the label. (Chapter 13)</w:t>
      </w:r>
    </w:p>
    <w:p>
      <w:pPr>
        <w:pStyle w:val="ListParagraph"/>
        <w:numPr>
          <w:ilvl w:val="0"/>
          <w:numId w:val="3"/>
        </w:numPr>
        <w:spacing w:after="80" w:line="290"/>
      </w:pPr>
      <w:r>
        <w:rPr>
          <w:rFonts w:ascii="Arial" w:cs="Arial" w:hAnsi="Arial"/>
          <w:szCs w:val="23"/>
          <w:rtl/>
        </w:rPr>
        <w:t xml:space="preserve">زي أم العروس</w:t>
      </w:r>
      <w:r>
        <w:rPr>
          <w:rFonts w:ascii="Arial" w:cs="Arial" w:eastAsia="Arial" w:hAnsi="Arial"/>
        </w:rPr>
        <w:t xml:space="preserve"> (from </w:t>
      </w:r>
      <w:r>
        <w:rPr>
          <w:rFonts w:ascii="Arial" w:cs="Arial" w:hAnsi="Arial"/>
          <w:szCs w:val="23"/>
          <w:rtl/>
        </w:rPr>
        <w:t xml:space="preserve">زي أم العروس فاضية ومشغولة</w:t>
      </w:r>
      <w:r>
        <w:rPr>
          <w:rFonts w:ascii="Arial" w:cs="Arial" w:eastAsia="Arial" w:hAnsi="Arial"/>
        </w:rPr>
        <w:t xml:space="preserve">) describes someone who fusses without achieving much, the opposite of industrious “busy as a bee”; and </w:t>
      </w:r>
      <w:r>
        <w:rPr>
          <w:rFonts w:ascii="Arial" w:cs="Arial" w:hAnsi="Arial"/>
          <w:szCs w:val="23"/>
          <w:rtl/>
        </w:rPr>
        <w:t xml:space="preserve">مشغول جداً</w:t>
      </w:r>
      <w:r>
        <w:rPr>
          <w:rFonts w:ascii="Arial" w:cs="Arial" w:eastAsia="Arial" w:hAnsi="Arial"/>
        </w:rPr>
        <w:t xml:space="preserve"> is a plain paraphrase, not a cultural equivalent as the heading promises. (Chapter 14)</w:t>
      </w:r>
    </w:p>
    <w:p>
      <w:pPr>
        <w:pStyle w:val="ListParagraph"/>
        <w:numPr>
          <w:ilvl w:val="0"/>
          <w:numId w:val="3"/>
        </w:numPr>
        <w:spacing w:after="80" w:line="290"/>
      </w:pPr>
      <w:r>
        <w:rPr>
          <w:rFonts w:ascii="Arial" w:cs="Arial" w:eastAsia="Arial" w:hAnsi="Arial"/>
        </w:rPr>
        <w:t xml:space="preserve">Zakat is levied on wealth held above the nisab for a lunar year (and on certain produce and livestock), not on income, so the gloss is factually wrong. (Chapter 15)</w:t>
      </w:r>
    </w:p>
    <w:p>
      <w:pPr>
        <w:pStyle w:val="ListParagraph"/>
        <w:numPr>
          <w:ilvl w:val="0"/>
          <w:numId w:val="3"/>
        </w:numPr>
        <w:spacing w:after="80" w:line="290"/>
      </w:pPr>
      <w:r>
        <w:rPr>
          <w:rFonts w:ascii="Arial" w:cs="Arial" w:eastAsia="Arial" w:hAnsi="Arial"/>
        </w:rPr>
        <w:t xml:space="preserve">Tayammum is wiping, not washing, and applies also when water cannot be used (e.g. illness), so “ritual washing” misdescribes it. (Chapter 15)</w:t>
      </w:r>
    </w:p>
    <w:p>
      <w:pPr>
        <w:pStyle w:val="ListParagraph"/>
        <w:numPr>
          <w:ilvl w:val="0"/>
          <w:numId w:val="3"/>
        </w:numPr>
        <w:spacing w:after="80" w:line="290"/>
      </w:pPr>
      <w:r>
        <w:rPr>
          <w:rFonts w:ascii="Arial" w:cs="Arial" w:hAnsi="Arial"/>
          <w:szCs w:val="23"/>
          <w:rtl/>
        </w:rPr>
        <w:t xml:space="preserve">النحت</w:t>
      </w:r>
      <w:r>
        <w:rPr>
          <w:rFonts w:ascii="Arial" w:cs="Arial" w:eastAsia="Arial" w:hAnsi="Arial"/>
        </w:rPr>
        <w:t xml:space="preserve"> is specifically blending two words into one (e.g. </w:t>
      </w:r>
      <w:r>
        <w:rPr>
          <w:rFonts w:ascii="Arial" w:cs="Arial" w:hAnsi="Arial"/>
          <w:szCs w:val="23"/>
          <w:rtl/>
        </w:rPr>
        <w:t xml:space="preserve">البسملة</w:t>
      </w:r>
      <w:r>
        <w:rPr>
          <w:rFonts w:ascii="Arial" w:cs="Arial" w:eastAsia="Arial" w:hAnsi="Arial"/>
        </w:rPr>
        <w:t xml:space="preserve">, </w:t>
      </w:r>
      <w:r>
        <w:rPr>
          <w:rFonts w:ascii="Arial" w:cs="Arial" w:hAnsi="Arial"/>
          <w:szCs w:val="23"/>
          <w:rtl/>
        </w:rPr>
        <w:t xml:space="preserve">برمائي</w:t>
      </w:r>
      <w:r>
        <w:rPr>
          <w:rFonts w:ascii="Arial" w:cs="Arial" w:eastAsia="Arial" w:hAnsi="Arial"/>
        </w:rPr>
        <w:t xml:space="preserve">); lexical creation in general is </w:t>
      </w:r>
      <w:r>
        <w:rPr>
          <w:rFonts w:ascii="Arial" w:cs="Arial" w:hAnsi="Arial"/>
          <w:szCs w:val="23"/>
          <w:rtl/>
        </w:rPr>
        <w:t xml:space="preserve">التوليد المعجمي</w:t>
      </w:r>
      <w:r>
        <w:rPr>
          <w:rFonts w:ascii="Arial" w:cs="Arial" w:eastAsia="Arial" w:hAnsi="Arial"/>
        </w:rPr>
        <w:t xml:space="preserve">. (Chapter 16)</w:t>
      </w:r>
    </w:p>
    <w:p>
      <w:pPr>
        <w:pStyle w:val="ListParagraph"/>
        <w:numPr>
          <w:ilvl w:val="0"/>
          <w:numId w:val="3"/>
        </w:numPr>
        <w:spacing w:after="80" w:line="290"/>
      </w:pPr>
      <w:r>
        <w:rPr>
          <w:rFonts w:ascii="Arial" w:cs="Arial" w:eastAsia="Arial" w:hAnsi="Arial"/>
        </w:rPr>
        <w:t xml:space="preserve">The chapter’s own example (</w:t>
      </w:r>
      <w:r>
        <w:rPr>
          <w:rFonts w:ascii="Arial" w:cs="Arial" w:hAnsi="Arial"/>
          <w:szCs w:val="23"/>
          <w:rtl/>
        </w:rPr>
        <w:t xml:space="preserve">مدوّنة</w:t>
      </w:r>
      <w:r>
        <w:rPr>
          <w:rFonts w:ascii="Arial" w:cs="Arial" w:eastAsia="Arial" w:hAnsi="Arial"/>
        </w:rPr>
        <w:t xml:space="preserve"> for _blog_) is an existing Arabic word given a new sense, not a “completely new word”; neologisms standardly include new senses. (Chapter 16)</w:t>
      </w:r>
    </w:p>
    <w:p>
      <w:pPr>
        <w:pStyle w:val="ListParagraph"/>
        <w:numPr>
          <w:ilvl w:val="0"/>
          <w:numId w:val="3"/>
        </w:numPr>
        <w:spacing w:after="80" w:line="290"/>
      </w:pPr>
      <w:r>
        <w:rPr>
          <w:rFonts w:ascii="Arial" w:cs="Arial" w:hAnsi="Arial"/>
          <w:szCs w:val="23"/>
          <w:rtl/>
        </w:rPr>
        <w:t xml:space="preserve">مدوّنة</w:t>
      </w:r>
      <w:r>
        <w:rPr>
          <w:rFonts w:ascii="Arial" w:cs="Arial" w:eastAsia="Arial" w:hAnsi="Arial"/>
        </w:rPr>
        <w:t xml:space="preserve"> was not invented but derived from the root </w:t>
      </w:r>
      <w:r>
        <w:rPr>
          <w:rFonts w:ascii="Arial" w:cs="Arial" w:hAnsi="Arial"/>
          <w:szCs w:val="23"/>
          <w:rtl/>
        </w:rPr>
        <w:t xml:space="preserve">د و ن</w:t>
      </w:r>
      <w:r>
        <w:rPr>
          <w:rFonts w:ascii="Arial" w:cs="Arial" w:eastAsia="Arial" w:hAnsi="Arial"/>
        </w:rPr>
        <w:t xml:space="preserve"> and extended in meaning; derivation, the main Arabic coinage method, is otherwise missing. (Chapter 16)</w:t>
      </w:r>
    </w:p>
    <w:p>
      <w:pPr>
        <w:pStyle w:val="ListParagraph"/>
        <w:numPr>
          <w:ilvl w:val="0"/>
          <w:numId w:val="3"/>
        </w:numPr>
        <w:spacing w:after="80" w:line="290"/>
      </w:pPr>
      <w:r>
        <w:rPr>
          <w:rFonts w:ascii="Arial" w:cs="Arial" w:hAnsi="Arial"/>
          <w:szCs w:val="23"/>
          <w:rtl/>
        </w:rPr>
        <w:t xml:space="preserve">عيد الحب</w:t>
      </w:r>
      <w:r>
        <w:rPr>
          <w:rFonts w:ascii="Arial" w:cs="Arial" w:eastAsia="Arial" w:hAnsi="Arial"/>
        </w:rPr>
        <w:t xml:space="preserve"> (“the feast of love”) is not a loan translation of _Valentine’s Day_ (a calque would be </w:t>
      </w:r>
      <w:r>
        <w:rPr>
          <w:rFonts w:ascii="Arial" w:cs="Arial" w:hAnsi="Arial"/>
          <w:szCs w:val="23"/>
          <w:rtl/>
        </w:rPr>
        <w:t xml:space="preserve">عيد القديس فالنتاين</w:t>
      </w:r>
      <w:r>
        <w:rPr>
          <w:rFonts w:ascii="Arial" w:cs="Arial" w:eastAsia="Arial" w:hAnsi="Arial"/>
        </w:rPr>
        <w:t xml:space="preserve">); it is a descriptive/functional rendering, so it is a wrong example of calque. (Chapter 16)</w:t>
      </w:r>
    </w:p>
    <w:p>
      <w:pPr>
        <w:pStyle w:val="ListParagraph"/>
        <w:numPr>
          <w:ilvl w:val="0"/>
          <w:numId w:val="3"/>
        </w:numPr>
        <w:spacing w:after="80" w:line="290"/>
      </w:pPr>
      <w:r>
        <w:rPr>
          <w:rFonts w:ascii="Arial" w:cs="Arial" w:hAnsi="Arial"/>
          <w:szCs w:val="23"/>
          <w:rtl/>
        </w:rPr>
        <w:t xml:space="preserve">التعجيم</w:t>
      </w:r>
      <w:r>
        <w:rPr>
          <w:rFonts w:ascii="Arial" w:cs="Arial" w:eastAsia="Arial" w:hAnsi="Arial"/>
        </w:rPr>
        <w:t xml:space="preserve"> is not the Arabic term for lexicalisation (it evokes </w:t>
      </w:r>
      <w:r>
        <w:rPr>
          <w:rFonts w:ascii="Arial" w:cs="Arial" w:hAnsi="Arial"/>
          <w:szCs w:val="23"/>
          <w:rtl/>
        </w:rPr>
        <w:t xml:space="preserve">الإعجام</w:t>
      </w:r>
      <w:r>
        <w:rPr>
          <w:rFonts w:ascii="Arial" w:cs="Arial" w:eastAsia="Arial" w:hAnsi="Arial"/>
        </w:rPr>
        <w:t xml:space="preserve">, dotting letters, or making foreign); the usual term is </w:t>
      </w:r>
      <w:r>
        <w:rPr>
          <w:rFonts w:ascii="Arial" w:cs="Arial" w:hAnsi="Arial"/>
          <w:szCs w:val="23"/>
          <w:rtl/>
        </w:rPr>
        <w:t xml:space="preserve">المَعْجَمة</w:t>
      </w:r>
      <w:r>
        <w:rPr>
          <w:rFonts w:ascii="Arial" w:cs="Arial" w:eastAsia="Arial" w:hAnsi="Arial"/>
        </w:rPr>
        <w:t xml:space="preserve">, and lexicalisation means entering general use, not becoming “official”. (Chapter 16)</w:t>
      </w:r>
    </w:p>
    <w:p>
      <w:pPr>
        <w:pStyle w:val="ListParagraph"/>
        <w:numPr>
          <w:ilvl w:val="0"/>
          <w:numId w:val="3"/>
        </w:numPr>
        <w:spacing w:after="80" w:line="290"/>
      </w:pPr>
      <w:r>
        <w:rPr>
          <w:rFonts w:ascii="Arial" w:cs="Arial" w:eastAsia="Arial" w:hAnsi="Arial"/>
        </w:rPr>
        <w:t xml:space="preserve">Text linguists do not limit text to writing, and a random word or sentence is not a text unless it forms a meaningful whole (e.g. a sign saying “Exit”). (Chapter 17)</w:t>
      </w:r>
    </w:p>
    <w:p>
      <w:pPr>
        <w:pStyle w:val="ListParagraph"/>
        <w:numPr>
          <w:ilvl w:val="0"/>
          <w:numId w:val="3"/>
        </w:numPr>
        <w:spacing w:after="80" w:line="290"/>
      </w:pPr>
      <w:r>
        <w:rPr>
          <w:rFonts w:ascii="Arial" w:cs="Arial" w:eastAsia="Arial" w:hAnsi="Arial"/>
        </w:rPr>
        <w:t xml:space="preserve">Calling genre “the type of text” contradicts Chapter 18, which separates text type (function) from genre; the glossary keeps this first definition, so it must match Chapter 18. (Chapter 17)</w:t>
      </w:r>
    </w:p>
    <w:p>
      <w:pPr>
        <w:pStyle w:val="ListParagraph"/>
        <w:numPr>
          <w:ilvl w:val="0"/>
          <w:numId w:val="3"/>
        </w:numPr>
        <w:spacing w:after="80" w:line="290"/>
      </w:pPr>
      <w:r>
        <w:rPr>
          <w:rFonts w:ascii="Arial" w:cs="Arial" w:eastAsia="Arial" w:hAnsi="Arial"/>
        </w:rPr>
        <w:t xml:space="preserve">The cited work (Munir Baalbaki) is English–Arabic only; the Arabic–English _Al-Mawrid_ is by Rohi Baalbaki and is not in the References, so the item misattributes it. (Chapter 20)</w:t>
      </w:r>
    </w:p>
    <w:p>
      <w:pPr>
        <w:pStyle w:val="ListParagraph"/>
        <w:numPr>
          <w:ilvl w:val="0"/>
          <w:numId w:val="3"/>
        </w:numPr>
        <w:spacing w:after="80" w:line="290"/>
      </w:pPr>
      <w:r>
        <w:rPr>
          <w:rFonts w:ascii="Arial" w:cs="Arial" w:eastAsia="Arial" w:hAnsi="Arial"/>
        </w:rPr>
        <w:t xml:space="preserve">Terminologists mainly collect, describe and record terms, and translation-oriented terminology work (UNTERM, IATE, Arabterm) is bilingual or multilingual, so ‘creates … usually in one language’ misdescribes the job. (Chapter 21)</w:t>
      </w:r>
    </w:p>
    <w:p>
      <w:pPr>
        <w:pStyle w:val="ListParagraph"/>
        <w:numPr>
          <w:ilvl w:val="0"/>
          <w:numId w:val="3"/>
        </w:numPr>
        <w:spacing w:after="80" w:line="290"/>
      </w:pPr>
      <w:r>
        <w:rPr>
          <w:rFonts w:ascii="Arial" w:cs="Arial" w:eastAsia="Arial" w:hAnsi="Arial"/>
        </w:rPr>
        <w:t xml:space="preserve">Same misdescription as the key term: terminologists work on terms, not texts, often across languages, and standardisation is only part of their work. (Chapter 21)</w:t>
      </w:r>
    </w:p>
    <w:p>
      <w:pPr>
        <w:pStyle w:val="ListParagraph"/>
        <w:numPr>
          <w:ilvl w:val="0"/>
          <w:numId w:val="3"/>
        </w:numPr>
        <w:spacing w:after="80" w:line="290"/>
      </w:pPr>
      <w:r>
        <w:rPr>
          <w:rFonts w:ascii="Arial" w:cs="Arial" w:eastAsia="Arial" w:hAnsi="Arial"/>
        </w:rPr>
        <w:t xml:space="preserve">The model answer repeats the incorrect ‘usually in one language’ description of a terminologist. (Chapter 21)</w:t>
      </w:r>
    </w:p>
    <w:p>
      <w:pPr>
        <w:spacing w:after="60"/>
      </w:pPr>
    </w:p>
    <w:p>
      <w:pPr>
        <w:pStyle w:val="Heading1"/>
      </w:pPr>
      <w:r>
        <w:t xml:space="preserve">3. All corrections, by chapter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1451"/>
        <w:gridCol w:w="1089"/>
        <w:gridCol w:w="5080"/>
      </w:tblGrid>
      <w:tr>
        <w:trPr>
          <w:tblHeader/>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Type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Importance</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wrong and what was done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“that person” does not fit when the requester is an agency or employer, and “client” matches the term used in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freelancer was given as an example of a commissioned translator, and the exercise repeated this; the difference is now explained as who chooses the text, and the exercise was rewritten.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glosses the general word “translation” as written translation only, but the chapter treats translation as the umbrella term (interpreting, sight translation and AVT are listed as “Types of translation”, and both quoted definitions are general).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not brought “close to the target language”; approximation means getting as close as possible to the source meaning, which is the point of the Eco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 a leg” is specifically a theatre/performance wish, not a general good-luck formula.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“equal cultural knowledge” is unclear, and “also” is wrong because the first two bullets (fluent in both languages, bicultural) repeat these two characteristics rather than adding to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was of East African descent; “Abbasid writer” (or “Arabic writer”) is accurate and avoids an ethnic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Inconsistent vowelling: سواءً has tanwin but the coordinated وغاية does not; both are accusative predicates of يكون.</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close as possible” needs a reference point; it should match the corrected key-term definition (close to the source meaning).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misplaced “not words” makes the sentence awkward and slightly ambiguous.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Nord’s functionalist sense the brief is the set of instructions from the client (commissioner), not just any information the translator gathers; the text itself says “If nobody gives you one, ask the client.”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introduces skopos theory as a new idea although Chapter 2 already teaches it without naming it; a cross-reference links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it is unclear that this is a translation task; the report is written in Arabic and translated for English readers.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is too absolute: Chapter 13 presents foreignisation, which deliberately keeps a foreign flavour, as a legitimate choice.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“Prose” includes literary prose (novels, stories), which is not stricter than poetry; the contrast that holds is between informative texts and poetry, and Chapter 4 itself notes that poetic form is part of the message.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audience defined in step 1 is Arabic-speaking parents, not an ethnic group; the handbook elsewhere uses language-based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“Word order: start with the verb” was changed to match the corrected rule that both orders are correct.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a false generalisation that Arabic “usually” starts with the verb: the nominal sentence (جملة اسمية) with SVO order is fully grammatical and very common in MSA; VSO is only the preferred unmarked order in formal writing.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سام أكل الكعكة</w:t>
            </w:r>
            <w:r>
              <w:rPr>
                <w:rFonts w:ascii="Arial" w:cs="Arial" w:eastAsia="Arial" w:hAnsi="Arial"/>
                <w:sz w:val="19"/>
                <w:szCs w:val="19"/>
              </w:rPr>
              <w:t xml:space="preserve"> is a grammatical Arabic nominal sentence (it puts the focus on Sam), so marking it ✗ (“a poor translation”) teaches beginners that correct Arabic is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prefers short sentences” is an overgeneralisation (academic and legal English use long sentences); it is a tendency, not a rule.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does use synonym pairs (null and void, safe and sound, each and every), so “rarely” is too strong.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presents </w:t>
            </w:r>
            <w:r>
              <w:rPr>
                <w:rFonts w:ascii="Arial" w:cs="Arial" w:hAnsi="Arial"/>
                <w:sz w:val="19"/>
                <w:szCs w:val="20"/>
                <w:rtl/>
              </w:rPr>
              <w:t xml:space="preserve">يُعدّ/تُعدّ</w:t>
            </w:r>
            <w:r>
              <w:rPr>
                <w:rFonts w:ascii="Arial" w:cs="Arial" w:eastAsia="Arial" w:hAnsi="Arial"/>
                <w:sz w:val="19"/>
                <w:szCs w:val="19"/>
              </w:rPr>
              <w:t xml:space="preserve"> (“is considered”) as the Arabic equivalent of “is”, which adds a meaning and encourages a well-known translationese habit; the normal Arabic equivalent is a nominal sentence without a verb. “When is is the main verb”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“you” also covers the Arabic dual and plural forms, and the Jakobson quotation needs a sentence linking it to the example (Arabic must convey what English may leave out).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depends on the gender of the singular (طالب in </w:t>
            </w:r>
            <w:r>
              <w:rPr>
                <w:rFonts w:ascii="Arial" w:cs="Arial" w:hAnsi="Arial"/>
                <w:sz w:val="19"/>
                <w:szCs w:val="20"/>
                <w:rtl/>
              </w:rPr>
              <w:t xml:space="preserve">ثلاثةُ طلاب</w:t>
            </w:r>
            <w:r>
              <w:rPr>
                <w:rFonts w:ascii="Arial" w:cs="Arial" w:eastAsia="Arial" w:hAnsi="Arial"/>
                <w:sz w:val="19"/>
                <w:szCs w:val="19"/>
              </w:rPr>
              <w:t xml:space="preserve">), which matters with broken plurals and with plurals such as سنوات.</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bed” does not always mean asleep (he may be ill or resting); </w:t>
            </w:r>
            <w:r>
              <w:rPr>
                <w:rFonts w:ascii="Arial" w:cs="Arial" w:hAnsi="Arial"/>
                <w:sz w:val="19"/>
                <w:szCs w:val="20"/>
                <w:rtl/>
              </w:rPr>
              <w:t xml:space="preserve">في فراشه</w:t>
            </w:r>
            <w:r>
              <w:rPr>
                <w:rFonts w:ascii="Arial" w:cs="Arial" w:eastAsia="Arial" w:hAnsi="Arial"/>
                <w:sz w:val="19"/>
                <w:szCs w:val="19"/>
              </w:rPr>
              <w:t xml:space="preserve"> is the natural idiom and </w:t>
            </w:r>
            <w:r>
              <w:rPr>
                <w:rFonts w:ascii="Arial" w:cs="Arial" w:hAnsi="Arial"/>
                <w:sz w:val="19"/>
                <w:szCs w:val="20"/>
                <w:rtl/>
              </w:rPr>
              <w:t xml:space="preserve">نائم</w:t>
            </w:r>
            <w:r>
              <w:rPr>
                <w:rFonts w:ascii="Arial" w:cs="Arial" w:eastAsia="Arial" w:hAnsi="Arial"/>
                <w:sz w:val="19"/>
                <w:szCs w:val="19"/>
              </w:rPr>
              <w:t xml:space="preserve"> is only right in some contexts.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must match the corrected example: “in bed” is not always “asleep”.</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الطلاب حضروا المحاضرة</w:t>
            </w:r>
            <w:r>
              <w:rPr>
                <w:rFonts w:ascii="Arial" w:cs="Arial" w:eastAsia="Arial" w:hAnsi="Arial"/>
                <w:sz w:val="19"/>
                <w:szCs w:val="19"/>
              </w:rPr>
              <w:t xml:space="preserve"> is already correct Arabic, so “rewrite in natural Arabic” implies it is wrong; asking for a verbal sentence uses the key term and tests the point taught.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t>
            </w:r>
            <w:r>
              <w:rPr>
                <w:rFonts w:ascii="Arial" w:cs="Arial" w:hAnsi="Arial"/>
                <w:sz w:val="19"/>
                <w:szCs w:val="20"/>
                <w:rtl/>
              </w:rPr>
              <w:t xml:space="preserve">بصفتي</w:t>
            </w:r>
            <w:r>
              <w:rPr>
                <w:rFonts w:ascii="Arial" w:cs="Arial" w:eastAsia="Arial" w:hAnsi="Arial"/>
                <w:sz w:val="19"/>
                <w:szCs w:val="19"/>
              </w:rPr>
              <w:t xml:space="preserve"> is first person, but the English example has no “I”, so the pair does not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say what the trap is, and the standard plural of </w:t>
            </w:r>
            <w:r>
              <w:rPr>
                <w:rFonts w:ascii="Arial" w:cs="Arial" w:hAnsi="Arial"/>
                <w:sz w:val="19"/>
                <w:szCs w:val="20"/>
                <w:rtl/>
              </w:rPr>
              <w:t xml:space="preserve">محلّ</w:t>
            </w:r>
            <w:r>
              <w:rPr>
                <w:rFonts w:ascii="Arial" w:cs="Arial" w:eastAsia="Arial" w:hAnsi="Arial"/>
                <w:sz w:val="19"/>
                <w:szCs w:val="19"/>
              </w:rPr>
              <w:t xml:space="preserve"> is </w:t>
            </w:r>
            <w:r>
              <w:rPr>
                <w:rFonts w:ascii="Arial" w:cs="Arial" w:hAnsi="Arial"/>
                <w:sz w:val="19"/>
                <w:szCs w:val="20"/>
                <w:rtl/>
              </w:rPr>
              <w:t xml:space="preserve">محالّ</w:t>
            </w:r>
            <w:r>
              <w:rPr>
                <w:rFonts w:ascii="Arial" w:cs="Arial" w:eastAsia="Arial" w:hAnsi="Arial"/>
                <w:sz w:val="19"/>
                <w:szCs w:val="19"/>
              </w:rPr>
              <w:t xml:space="preserve"> (</w:t>
            </w:r>
            <w:r>
              <w:rPr>
                <w:rFonts w:ascii="Arial" w:cs="Arial" w:hAnsi="Arial"/>
                <w:sz w:val="19"/>
                <w:szCs w:val="20"/>
                <w:rtl/>
              </w:rPr>
              <w:t xml:space="preserve">محلات</w:t>
            </w:r>
            <w:r>
              <w:rPr>
                <w:rFonts w:ascii="Arial" w:cs="Arial" w:eastAsia="Arial" w:hAnsi="Arial"/>
                <w:sz w:val="19"/>
                <w:szCs w:val="19"/>
              </w:rPr>
              <w:t xml:space="preserve"> is widely used but criticised in edited MSA).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show what the trap is, so a beginner cannot learn from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الدلالة</w:t>
            </w:r>
            <w:r>
              <w:rPr>
                <w:rFonts w:ascii="Arial" w:cs="Arial" w:eastAsia="Arial" w:hAnsi="Arial"/>
                <w:sz w:val="19"/>
                <w:szCs w:val="19"/>
              </w:rPr>
              <w:t xml:space="preserve"> means “meaning/semantics”, not “word choice”; the Arabic label does not match the English category.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“Register” is a key term of this chapter but is never used or explained in the text; also, choosing MSA or dialect is a choice of variety, not of formality alone.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subtitling is conventionally done in MSA even for dialect films; dubbing is the usual case where dialect is used, so the example is misleading.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corrected rule: VSO is preferred, not compulsory.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“form” in the form/meaning distinction (Nida, Newmark) is </w:t>
            </w:r>
            <w:r>
              <w:rPr>
                <w:rFonts w:ascii="Arial" w:cs="Arial" w:hAnsi="Arial"/>
                <w:sz w:val="19"/>
                <w:szCs w:val="20"/>
                <w:rtl/>
              </w:rPr>
              <w:t xml:space="preserve">الشكل</w:t>
            </w:r>
            <w:r>
              <w:rPr>
                <w:rFonts w:ascii="Arial" w:cs="Arial" w:eastAsia="Arial" w:hAnsi="Arial"/>
                <w:sz w:val="19"/>
                <w:szCs w:val="19"/>
              </w:rPr>
              <w:t xml:space="preserve"> (</w:t>
            </w:r>
            <w:r>
              <w:rPr>
                <w:rFonts w:ascii="Arial" w:cs="Arial" w:hAnsi="Arial"/>
                <w:sz w:val="19"/>
                <w:szCs w:val="20"/>
                <w:rtl/>
              </w:rPr>
              <w:t xml:space="preserve">الشكل والمضمون</w:t>
            </w:r>
            <w:r>
              <w:rPr>
                <w:rFonts w:ascii="Arial" w:cs="Arial" w:eastAsia="Arial" w:hAnsi="Arial"/>
                <w:sz w:val="19"/>
                <w:szCs w:val="19"/>
              </w:rPr>
              <w:t xml:space="preserve">, </w:t>
            </w:r>
            <w:r>
              <w:rPr>
                <w:rFonts w:ascii="Arial" w:cs="Arial" w:hAnsi="Arial"/>
                <w:sz w:val="19"/>
                <w:szCs w:val="20"/>
                <w:rtl/>
              </w:rPr>
              <w:t xml:space="preserve">الشكل والمعنى</w:t>
            </w:r>
            <w:r>
              <w:rPr>
                <w:rFonts w:ascii="Arial" w:cs="Arial" w:eastAsia="Arial" w:hAnsi="Arial"/>
                <w:sz w:val="19"/>
                <w:szCs w:val="19"/>
              </w:rPr>
              <w:t xml:space="preserve">); </w:t>
            </w:r>
            <w:r>
              <w:rPr>
                <w:rFonts w:ascii="Arial" w:cs="Arial" w:hAnsi="Arial"/>
                <w:sz w:val="19"/>
                <w:szCs w:val="20"/>
                <w:rtl/>
              </w:rPr>
              <w:t xml:space="preserve">البناء</w:t>
            </w:r>
            <w:r>
              <w:rPr>
                <w:rFonts w:ascii="Arial" w:cs="Arial" w:eastAsia="Arial" w:hAnsi="Arial"/>
                <w:sz w:val="19"/>
                <w:szCs w:val="19"/>
              </w:rPr>
              <w:t xml:space="preserve"> means “structure/construction”.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match the corrected key term </w:t>
            </w:r>
            <w:r>
              <w:rPr>
                <w:rFonts w:ascii="Arial" w:cs="Arial" w:hAnsi="Arial"/>
                <w:sz w:val="19"/>
                <w:szCs w:val="20"/>
                <w:rtl/>
              </w:rPr>
              <w:t xml:space="preserve">الشكل</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both examples it is the noun that becomes a verb (smoker → </w:t>
            </w:r>
            <w:r>
              <w:rPr>
                <w:rFonts w:ascii="Arial" w:cs="Arial" w:hAnsi="Arial"/>
                <w:sz w:val="19"/>
                <w:szCs w:val="20"/>
                <w:rtl/>
              </w:rPr>
              <w:t xml:space="preserve">يدخّن</w:t>
            </w:r>
            <w:r>
              <w:rPr>
                <w:rFonts w:ascii="Arial" w:cs="Arial" w:eastAsia="Arial" w:hAnsi="Arial"/>
                <w:sz w:val="19"/>
                <w:szCs w:val="19"/>
              </w:rPr>
              <w:t xml:space="preserve">, arrival → </w:t>
            </w:r>
            <w:r>
              <w:rPr>
                <w:rFonts w:ascii="Arial" w:cs="Arial" w:hAnsi="Arial"/>
                <w:sz w:val="19"/>
                <w:szCs w:val="20"/>
                <w:rtl/>
              </w:rPr>
              <w:t xml:space="preserve">وصل</w:t>
            </w:r>
            <w:r>
              <w:rPr>
                <w:rFonts w:ascii="Arial" w:cs="Arial" w:eastAsia="Arial" w:hAnsi="Arial"/>
                <w:sz w:val="19"/>
                <w:szCs w:val="19"/>
              </w:rPr>
              <w:t xml:space="preserve">); no adjective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explanation is wrong: _heavy_ becomes the adverbial phrase </w:t>
            </w:r>
            <w:r>
              <w:rPr>
                <w:rFonts w:ascii="Arial" w:cs="Arial" w:hAnsi="Arial"/>
                <w:sz w:val="19"/>
                <w:szCs w:val="20"/>
                <w:rtl/>
              </w:rPr>
              <w:t xml:space="preserve">بشراهة</w:t>
            </w:r>
            <w:r>
              <w:rPr>
                <w:rFonts w:ascii="Arial" w:cs="Arial" w:eastAsia="Arial" w:hAnsi="Arial"/>
                <w:sz w:val="19"/>
                <w:szCs w:val="19"/>
              </w:rPr>
              <w:t xml:space="preserve">; it is _smoker_ that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Without vowels </w:t>
            </w:r>
            <w:r>
              <w:rPr>
                <w:rFonts w:ascii="Arial" w:cs="Arial" w:hAnsi="Arial"/>
                <w:sz w:val="19"/>
                <w:szCs w:val="20"/>
                <w:rtl/>
              </w:rPr>
              <w:t xml:space="preserve">توفّي</w:t>
            </w:r>
            <w:r>
              <w:rPr>
                <w:rFonts w:ascii="Arial" w:cs="Arial" w:eastAsia="Arial" w:hAnsi="Arial"/>
                <w:sz w:val="19"/>
                <w:szCs w:val="19"/>
              </w:rPr>
              <w:t xml:space="preserve"> is easily read as the active </w:t>
            </w:r>
            <w:r>
              <w:rPr>
                <w:rFonts w:ascii="Arial" w:cs="Arial" w:hAnsi="Arial"/>
                <w:sz w:val="19"/>
                <w:szCs w:val="20"/>
                <w:rtl/>
              </w:rPr>
              <w:t xml:space="preserve">تَوَفّى</w:t>
            </w:r>
            <w:r>
              <w:rPr>
                <w:rFonts w:ascii="Arial" w:cs="Arial" w:eastAsia="Arial" w:hAnsi="Arial"/>
                <w:sz w:val="19"/>
                <w:szCs w:val="19"/>
              </w:rPr>
              <w:t xml:space="preserve"> (“took the soul”), a classic error; the verb is passive </w:t>
            </w:r>
            <w:r>
              <w:rPr>
                <w:rFonts w:ascii="Arial" w:cs="Arial" w:hAnsi="Arial"/>
                <w:sz w:val="19"/>
                <w:szCs w:val="20"/>
                <w:rtl/>
              </w:rPr>
              <w:t xml:space="preserve">تُوُفِّي</w:t>
            </w:r>
            <w:r>
              <w:rPr>
                <w:rFonts w:ascii="Arial" w:cs="Arial" w:eastAsia="Arial" w:hAnsi="Arial"/>
                <w:sz w:val="19"/>
                <w:szCs w:val="19"/>
              </w:rPr>
              <w:t xml:space="preserve">, which a textbook should vowel.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kill/assassinate differ in denotation (assassinate means killing an important person for political reasons), so the pair does not illustrate “same denotation, different connotation”.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Defining context as “background information” contradicts the chapter, which counts the surrounding words (micro context) as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co-text/linguistic context is </w:t>
            </w:r>
            <w:r>
              <w:rPr>
                <w:rFonts w:ascii="Arial" w:cs="Arial" w:hAnsi="Arial"/>
                <w:sz w:val="19"/>
                <w:szCs w:val="20"/>
                <w:rtl/>
              </w:rPr>
              <w:t xml:space="preserve">السياق اللغوي</w:t>
            </w:r>
            <w:r>
              <w:rPr>
                <w:rFonts w:ascii="Arial" w:cs="Arial" w:eastAsia="Arial" w:hAnsi="Arial"/>
                <w:sz w:val="19"/>
                <w:szCs w:val="19"/>
              </w:rPr>
              <w:t xml:space="preserve">; keeping </w:t>
            </w:r>
            <w:r>
              <w:rPr>
                <w:rFonts w:ascii="Arial" w:cs="Arial" w:hAnsi="Arial"/>
                <w:sz w:val="19"/>
                <w:szCs w:val="20"/>
                <w:rtl/>
              </w:rPr>
              <w:t xml:space="preserve">الداخلي</w:t>
            </w:r>
            <w:r>
              <w:rPr>
                <w:rFonts w:ascii="Arial" w:cs="Arial" w:eastAsia="Arial" w:hAnsi="Arial"/>
                <w:sz w:val="19"/>
                <w:szCs w:val="19"/>
              </w:rPr>
              <w:t xml:space="preserve"> in brackets preserves the handbook’s wording.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situational context is </w:t>
            </w:r>
            <w:r>
              <w:rPr>
                <w:rFonts w:ascii="Arial" w:cs="Arial" w:hAnsi="Arial"/>
                <w:sz w:val="19"/>
                <w:szCs w:val="20"/>
                <w:rtl/>
              </w:rPr>
              <w:t xml:space="preserve">سياق الموقف</w:t>
            </w:r>
            <w:r>
              <w:rPr>
                <w:rFonts w:ascii="Arial" w:cs="Arial" w:eastAsia="Arial" w:hAnsi="Arial"/>
                <w:sz w:val="19"/>
                <w:szCs w:val="19"/>
              </w:rPr>
              <w:t xml:space="preserve"> (or </w:t>
            </w:r>
            <w:r>
              <w:rPr>
                <w:rFonts w:ascii="Arial" w:cs="Arial" w:hAnsi="Arial"/>
                <w:sz w:val="19"/>
                <w:szCs w:val="20"/>
                <w:rtl/>
              </w:rPr>
              <w:t xml:space="preserve">السياق المقامي</w:t>
            </w:r>
            <w:r>
              <w:rPr>
                <w:rFonts w:ascii="Arial" w:cs="Arial" w:eastAsia="Arial" w:hAnsi="Arial"/>
                <w:sz w:val="19"/>
                <w:szCs w:val="19"/>
              </w:rPr>
              <w:t xml:space="preserve">), which also links to the saying </w:t>
            </w:r>
            <w:r>
              <w:rPr>
                <w:rFonts w:ascii="Arial" w:cs="Arial" w:hAnsi="Arial"/>
                <w:sz w:val="19"/>
                <w:szCs w:val="20"/>
                <w:rtl/>
              </w:rPr>
              <w:t xml:space="preserve">لكلّ مقامٍ مقال</w:t>
            </w:r>
            <w:r>
              <w:rPr>
                <w:rFonts w:ascii="Arial" w:cs="Arial" w:eastAsia="Arial" w:hAnsi="Arial"/>
                <w:sz w:val="19"/>
                <w:szCs w:val="19"/>
              </w:rPr>
              <w:t xml:space="preserve"> used in this chapter.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image is confusing: only two corners are named, and something that “passes between” two points is not a triangle.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labels only some examples as related or unrelated, so beginners cannot tell which category _case_ illustrates.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تطهير الذنوب</w:t>
            </w:r>
            <w:r>
              <w:rPr>
                <w:rFonts w:ascii="Arial" w:cs="Arial" w:eastAsia="Arial" w:hAnsi="Arial"/>
                <w:sz w:val="19"/>
                <w:szCs w:val="19"/>
              </w:rPr>
              <w:t xml:space="preserve"> literally means “purifying the sins”; one is purified from sins, so the collocation is </w:t>
            </w:r>
            <w:r>
              <w:rPr>
                <w:rFonts w:ascii="Arial" w:cs="Arial" w:hAnsi="Arial"/>
                <w:sz w:val="19"/>
                <w:szCs w:val="20"/>
                <w:rtl/>
              </w:rPr>
              <w:t xml:space="preserve">التطهير من الذنوب</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يساورني القلق</w:t>
            </w:r>
            <w:r>
              <w:rPr>
                <w:rFonts w:ascii="Arial" w:cs="Arial" w:eastAsia="Arial" w:hAnsi="Arial"/>
                <w:sz w:val="19"/>
                <w:szCs w:val="19"/>
              </w:rPr>
              <w:t xml:space="preserve"> means “I am worried”; “growing” added a meaning that is not in the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absolute ban contradicts Chapter 10, where the collocation _to play a role_ → </w:t>
            </w:r>
            <w:r>
              <w:rPr>
                <w:rFonts w:ascii="Arial" w:cs="Arial" w:hAnsi="Arial"/>
                <w:sz w:val="19"/>
                <w:szCs w:val="20"/>
                <w:rtl/>
              </w:rPr>
              <w:t xml:space="preserve">يلعب دوراً</w:t>
            </w:r>
            <w:r>
              <w:rPr>
                <w:rFonts w:ascii="Arial" w:cs="Arial" w:eastAsia="Arial" w:hAnsi="Arial"/>
                <w:sz w:val="19"/>
                <w:szCs w:val="19"/>
              </w:rPr>
              <w:t xml:space="preserve"> is a successful literal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imperative 'lend me your attention' breaks the parallel citation form (third-person present) used for every other item in the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idioms are shared and can be kept (Baker's 'similar meaning and form'; Chapters 9 and 11), and Baker ranks a matching idiom before paraphrase, so the order is reversed.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contradicts Chapter 9 (_think outside the box_ kept formally) and Chapter 11 (shared images translated literally); the Answer key's 'never' in c2b.js needs the same softening.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الكعك</w:t>
            </w:r>
            <w:r>
              <w:rPr>
                <w:rFonts w:ascii="Arial" w:cs="Arial" w:eastAsia="Arial" w:hAnsi="Arial"/>
                <w:sz w:val="19"/>
                <w:szCs w:val="19"/>
              </w:rPr>
              <w:t xml:space="preserve"> usually means biscuits or festive cookies, not a slice of a cake; Chapter 3 already uses </w:t>
            </w:r>
            <w:r>
              <w:rPr>
                <w:rFonts w:ascii="Arial" w:cs="Arial" w:hAnsi="Arial"/>
                <w:sz w:val="19"/>
                <w:szCs w:val="20"/>
                <w:rtl/>
              </w:rPr>
              <w:t xml:space="preserve">الكعكة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العمل عمل</w:t>
            </w:r>
            <w:r>
              <w:rPr>
                <w:rFonts w:ascii="Arial" w:cs="Arial" w:eastAsia="Arial" w:hAnsi="Arial"/>
                <w:sz w:val="19"/>
                <w:szCs w:val="19"/>
              </w:rPr>
              <w:t xml:space="preserve"> is a word-for-word rendering, not an Arabic saying, so it contradicts the rule just stated; the established saying carries the same meaning (friendship does not count in business).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By the chapter's own definitions a plain non-idiomatic rendering is ideational, not functional; the Arabic also dropped the modal _should_.</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متميّز</w:t>
            </w:r>
            <w:r>
              <w:rPr>
                <w:rFonts w:ascii="Arial" w:cs="Arial" w:eastAsia="Arial" w:hAnsi="Arial"/>
                <w:sz w:val="19"/>
                <w:szCs w:val="19"/>
              </w:rPr>
              <w:t xml:space="preserve"> ('distinguished') loses the superlative meaning of _second to none_, so the ideational version changes the idea instead of keeping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Keeps the Try-it question in line with the corrected ideational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concept gets a different Arabic term here (</w:t>
            </w:r>
            <w:r>
              <w:rPr>
                <w:rFonts w:ascii="Arial" w:cs="Arial" w:hAnsi="Arial"/>
                <w:sz w:val="19"/>
                <w:szCs w:val="20"/>
                <w:rtl/>
              </w:rPr>
              <w:t xml:space="preserve">الترجمة المكيَّفة</w:t>
            </w:r>
            <w:r>
              <w:rPr>
                <w:rFonts w:ascii="Arial" w:cs="Arial" w:eastAsia="Arial" w:hAnsi="Arial"/>
                <w:sz w:val="19"/>
                <w:szCs w:val="19"/>
              </w:rPr>
              <w:t xml:space="preserve">, not established) and in Chapter 12 (</w:t>
            </w:r>
            <w:r>
              <w:rPr>
                <w:rFonts w:ascii="Arial" w:cs="Arial" w:hAnsi="Arial"/>
                <w:sz w:val="19"/>
                <w:szCs w:val="20"/>
                <w:rtl/>
              </w:rPr>
              <w:t xml:space="preserve">التكييف</w:t>
            </w:r>
            <w:r>
              <w:rPr>
                <w:rFonts w:ascii="Arial" w:cs="Arial" w:eastAsia="Arial" w:hAnsi="Arial"/>
                <w:sz w:val="19"/>
                <w:szCs w:val="19"/>
              </w:rPr>
              <w:t xml:space="preserve">); a '(method)' label keeps the two glossary entries distinct.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_Adaptation_ is a key term of this chapter but is never mentioned in the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أهمّ</w:t>
            </w:r>
            <w:r>
              <w:rPr>
                <w:rFonts w:ascii="Arial" w:cs="Arial" w:eastAsia="Arial" w:hAnsi="Arial"/>
                <w:sz w:val="19"/>
                <w:szCs w:val="19"/>
              </w:rPr>
              <w:t xml:space="preserve"> ('most important') is already an interpretation, not the literal version the list is meant to illustrate, and the correction only works if the context is given.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Starting with the noun follows English order, against the chapter 3 advice; the verbal order is more natural, and </w:t>
            </w:r>
            <w:r>
              <w:rPr>
                <w:rFonts w:ascii="Arial" w:cs="Arial" w:hAnsi="Arial"/>
                <w:sz w:val="19"/>
                <w:szCs w:val="20"/>
                <w:rtl/>
              </w:rPr>
              <w:t xml:space="preserve">يتمّ</w:t>
            </w:r>
            <w:r>
              <w:rPr>
                <w:rFonts w:ascii="Arial" w:cs="Arial" w:eastAsia="Arial" w:hAnsi="Arial"/>
                <w:sz w:val="19"/>
                <w:szCs w:val="19"/>
              </w:rPr>
              <w:t xml:space="preserve"> needs its shadda as elsewhere in the book.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سيكون لدينا</w:t>
            </w:r>
            <w:r>
              <w:rPr>
                <w:rFonts w:ascii="Arial" w:cs="Arial" w:eastAsia="Arial" w:hAnsi="Arial"/>
                <w:sz w:val="19"/>
                <w:szCs w:val="19"/>
              </w:rPr>
              <w:t xml:space="preserve"> is an English-style structure ('we will have'); even an example of over-free translation should be natural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Letter to Pammachius Jerome explicitly exempts Scripture from sense-for-sense translation, so the sentence as written misrepresents him.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_She is a moon_ is not natural English, and in Arabic balāgha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 not a </w:t>
            </w:r>
            <w:r>
              <w:rPr>
                <w:rFonts w:ascii="Arial" w:cs="Arial" w:hAnsi="Arial"/>
                <w:sz w:val="19"/>
                <w:szCs w:val="20"/>
                <w:rtl/>
              </w:rPr>
              <w:t xml:space="preserve">استعارة</w:t>
            </w:r>
            <w:r>
              <w:rPr>
                <w:rFonts w:ascii="Arial" w:cs="Arial" w:eastAsia="Arial" w:hAnsi="Arial"/>
                <w:sz w:val="19"/>
                <w:szCs w:val="19"/>
              </w:rPr>
              <w:t xml:space="preserve">; the 'Arabic terms' gloss is a paraphrase, not the Arabic definition, so specialist readers will object to Metaphor = </w:t>
            </w:r>
            <w:r>
              <w:rPr>
                <w:rFonts w:ascii="Arial" w:cs="Arial" w:hAnsi="Arial"/>
                <w:sz w:val="19"/>
                <w:szCs w:val="20"/>
                <w:rtl/>
              </w:rPr>
              <w:t xml:space="preserve">الاستعارة</w:t>
            </w:r>
            <w:r>
              <w:rPr>
                <w:rFonts w:ascii="Arial" w:cs="Arial" w:eastAsia="Arial" w:hAnsi="Arial"/>
                <w:sz w:val="19"/>
                <w:szCs w:val="19"/>
              </w:rPr>
              <w:t xml:space="preserve"> unqualified.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lists seven procedures (including simile plus sense, deletion, and metaphor plus sense); the four steps are only a selection of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English _see the light_ means 'to understand or be converted'; 'be published' is _see the light of day_, so the example of a shared metaphor is an Arabism. </w:t>
            </w:r>
            <w:r>
              <w:rPr>
                <w:rFonts w:ascii="Arial" w:cs="Arial" w:hAnsi="Arial"/>
                <w:sz w:val="19"/>
                <w:szCs w:val="20"/>
                <w:rtl/>
              </w:rPr>
              <w:t xml:space="preserve">المقبل</w:t>
            </w:r>
            <w:r>
              <w:rPr>
                <w:rFonts w:ascii="Arial" w:cs="Arial" w:eastAsia="Arial" w:hAnsi="Arial"/>
                <w:sz w:val="19"/>
                <w:szCs w:val="19"/>
              </w:rPr>
              <w:t xml:space="preserve"> is also the preferred form for 'next'.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_My thoughts evaporated_ is not a usual English collocation; _hopes evaporated_ is natural in both languages.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is not limited to negative situations, and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not 'a small visible part of something bigger'; </w:t>
            </w:r>
            <w:r>
              <w:rPr>
                <w:rFonts w:ascii="Arial" w:cs="Arial" w:hAnsi="Arial"/>
                <w:sz w:val="19"/>
                <w:szCs w:val="20"/>
                <w:rtl/>
              </w:rPr>
              <w:t xml:space="preserve">وما خفي كان أعظم</w:t>
            </w:r>
            <w:r>
              <w:rPr>
                <w:rFonts w:ascii="Arial" w:cs="Arial" w:eastAsia="Arial" w:hAnsi="Arial"/>
                <w:sz w:val="19"/>
                <w:szCs w:val="19"/>
              </w:rPr>
              <w:t xml:space="preserve"> is the natural negative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a scandal (the negative context in the question) the answer should include the negative equivalent given in the corrected step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hypothetical snake example contradicts step 1, where the same image is shared; _raise eyebrows_ also means surprise with mild disapproval, which </w:t>
            </w:r>
            <w:r>
              <w:rPr>
                <w:rFonts w:ascii="Arial" w:cs="Arial" w:hAnsi="Arial"/>
                <w:sz w:val="19"/>
                <w:szCs w:val="20"/>
                <w:rtl/>
              </w:rPr>
              <w:t xml:space="preserve">استغراب</w:t>
            </w:r>
            <w:r>
              <w:rPr>
                <w:rFonts w:ascii="Arial" w:cs="Arial" w:eastAsia="Arial" w:hAnsi="Arial"/>
                <w:sz w:val="19"/>
                <w:szCs w:val="19"/>
              </w:rPr>
              <w:t xml:space="preserve"> carries better than </w:t>
            </w:r>
            <w:r>
              <w:rPr>
                <w:rFonts w:ascii="Arial" w:cs="Arial" w:hAnsi="Arial"/>
                <w:sz w:val="19"/>
                <w:szCs w:val="20"/>
                <w:rtl/>
              </w:rPr>
              <w:t xml:space="preserve">دهشة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uses 'Loan translation (calque)' with another Arabic term (</w:t>
            </w:r>
            <w:r>
              <w:rPr>
                <w:rFonts w:ascii="Arial" w:cs="Arial" w:hAnsi="Arial"/>
                <w:sz w:val="19"/>
                <w:szCs w:val="20"/>
                <w:rtl/>
              </w:rPr>
              <w:t xml:space="preserve">الترجمة المستعارة</w:t>
            </w:r>
            <w:r>
              <w:rPr>
                <w:rFonts w:ascii="Arial" w:cs="Arial" w:eastAsia="Arial" w:hAnsi="Arial"/>
                <w:sz w:val="19"/>
                <w:szCs w:val="19"/>
              </w:rPr>
              <w:t xml:space="preserve">); link the two, and align the Arabic term in c2b.js (out of scope).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التطويع</w:t>
            </w:r>
            <w:r>
              <w:rPr>
                <w:rFonts w:ascii="Arial" w:cs="Arial" w:eastAsia="Arial" w:hAnsi="Arial"/>
                <w:sz w:val="19"/>
                <w:szCs w:val="19"/>
              </w:rPr>
              <w:t xml:space="preserve"> is the established Arabic term for Vinay and Darbelnet's _modulation_; </w:t>
            </w:r>
            <w:r>
              <w:rPr>
                <w:rFonts w:ascii="Arial" w:cs="Arial" w:hAnsi="Arial"/>
                <w:sz w:val="19"/>
                <w:szCs w:val="20"/>
                <w:rtl/>
              </w:rPr>
              <w:t xml:space="preserve">التحوير</w:t>
            </w:r>
            <w:r>
              <w:rPr>
                <w:rFonts w:ascii="Arial" w:cs="Arial" w:eastAsia="Arial" w:hAnsi="Arial"/>
                <w:sz w:val="19"/>
                <w:szCs w:val="19"/>
              </w:rPr>
              <w:t xml:space="preserve"> is less usual and loosely suggests 'alteration'.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terminology correction in the list of procedures.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only glossary definition of _Equivalence_ is Chapter 9's general 'match between expressions', which does not fit procedure 6; Adaptation already has a separate '(procedure)' entry, so Equivalence needs one too.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difference' has no stated referent for a beginner at this point.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them in order' tells beginners to try borrowing first, which Vinay and Darbelnet never recommend and which contradicts Chapter 16 (search for an accepted Arabic term first).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second list is attributed to Baker (2018) in the text, not to 'common practice'.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الإبدال</w:t>
            </w:r>
            <w:r>
              <w:rPr>
                <w:rFonts w:ascii="Arial" w:cs="Arial" w:eastAsia="Arial" w:hAnsi="Arial"/>
                <w:sz w:val="19"/>
                <w:szCs w:val="19"/>
              </w:rPr>
              <w:t xml:space="preserve"> is this book's term for transposition (Chapter 12); </w:t>
            </w:r>
            <w:r>
              <w:rPr>
                <w:rFonts w:ascii="Arial" w:cs="Arial" w:hAnsi="Arial"/>
                <w:sz w:val="19"/>
                <w:szCs w:val="20"/>
                <w:rtl/>
              </w:rPr>
              <w:t xml:space="preserve">الاستبدال الثقافي</w:t>
            </w:r>
            <w:r>
              <w:rPr>
                <w:rFonts w:ascii="Arial" w:cs="Arial" w:eastAsia="Arial" w:hAnsi="Arial"/>
                <w:sz w:val="19"/>
                <w:szCs w:val="19"/>
              </w:rPr>
              <w:t xml:space="preserve"> is the usual Arabic for Baker's cultural substitution and avoids the clash.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كلمة مفتاحية</w:t>
            </w:r>
            <w:r>
              <w:rPr>
                <w:rFonts w:ascii="Arial" w:cs="Arial" w:eastAsia="Arial" w:hAnsi="Arial"/>
                <w:sz w:val="19"/>
                <w:szCs w:val="19"/>
              </w:rPr>
              <w:t xml:space="preserve"> is itself a literal translation of _key word_, so it cannot illustrate that 'literal translation often fails'; the definition also ignores the literal half of the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Plain renderings such as </w:t>
            </w:r>
            <w:r>
              <w:rPr>
                <w:rFonts w:ascii="Arial" w:cs="Arial" w:hAnsi="Arial"/>
                <w:sz w:val="19"/>
                <w:szCs w:val="20"/>
                <w:rtl/>
              </w:rPr>
              <w:t xml:space="preserve">يُفشي السرّ</w:t>
            </w:r>
            <w:r>
              <w:rPr>
                <w:rFonts w:ascii="Arial" w:cs="Arial" w:eastAsia="Arial" w:hAnsi="Arial"/>
                <w:sz w:val="19"/>
                <w:szCs w:val="19"/>
              </w:rPr>
              <w:t xml:space="preserve"> are 'ideational' by Chapter 9's definitions, so they cannot illustrate functional translation; the new examples are Chapter 9's own functional equivalents.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example appears as 'adaptation' in Chapter 12; say it is the same technique rather than presenting it as new.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language of elaboration' (</w:t>
            </w:r>
            <w:r>
              <w:rPr>
                <w:rFonts w:ascii="Arial" w:cs="Arial" w:hAnsi="Arial"/>
                <w:sz w:val="19"/>
                <w:szCs w:val="20"/>
                <w:rtl/>
              </w:rPr>
              <w:t xml:space="preserve">إسهاب</w:t>
            </w:r>
            <w:r>
              <w:rPr>
                <w:rFonts w:ascii="Arial" w:cs="Arial" w:eastAsia="Arial" w:hAnsi="Arial"/>
                <w:sz w:val="19"/>
                <w:szCs w:val="19"/>
              </w:rPr>
              <w:t xml:space="preserve"> = verbosity) is a sweeping, mildly pejorative generalisation, and the _Fed_ example shows reader knowledge, not Arabic verbosity.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Try-it answer must match the corrected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and the Practice section use </w:t>
            </w:r>
            <w:r>
              <w:rPr>
                <w:rFonts w:ascii="Arial" w:cs="Arial" w:hAnsi="Arial"/>
                <w:sz w:val="19"/>
                <w:szCs w:val="20"/>
                <w:rtl/>
              </w:rPr>
              <w:t xml:space="preserve">شجاعٌ مِغوار</w:t>
            </w:r>
            <w:r>
              <w:rPr>
                <w:rFonts w:ascii="Arial" w:cs="Arial" w:eastAsia="Arial" w:hAnsi="Arial"/>
                <w:sz w:val="19"/>
                <w:szCs w:val="19"/>
              </w:rPr>
              <w:t xml:space="preserve"> (the natural collocation, without </w:t>
            </w:r>
            <w:r>
              <w:rPr>
                <w:rFonts w:ascii="Arial" w:cs="Arial" w:hAnsi="Arial"/>
                <w:sz w:val="19"/>
                <w:szCs w:val="20"/>
                <w:rtl/>
              </w:rPr>
              <w:t xml:space="preserve">و</w:t>
            </w:r>
            <w:r>
              <w:rPr>
                <w:rFonts w:ascii="Arial" w:cs="Arial" w:eastAsia="Arial" w:hAnsi="Arial"/>
                <w:sz w:val="19"/>
                <w:szCs w:val="19"/>
              </w:rPr>
              <w:t xml:space="preserve">); 'used for politeness' is vague; the rule on titles belongs to addition and repeats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form as Chapter 3 and the corrected list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has a ready English equivalent (_charity_) and needs no explanatory translation; the three words are religious terms, not technical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إرهاق السفر</w:t>
            </w:r>
            <w:r>
              <w:rPr>
                <w:rFonts w:ascii="Arial" w:cs="Arial" w:eastAsia="Arial" w:hAnsi="Arial"/>
                <w:sz w:val="19"/>
                <w:szCs w:val="19"/>
              </w:rPr>
              <w:t xml:space="preserve"> is general travel fatigue and loses the time-zone meaning; the longer version is a true paraphrase.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examples had no source word or direction, so a beginner cannot see what is being translated, and a single word was offered as if it were a whole-text strategy.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contradicts the chapter itself, which presents domestication and foreignisation as strategies for the whole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“cultural meaning” is in apposition to “the hardest kind of approximation”, so meaning is equated with a process.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عنصر ثقافي خاص</w:t>
            </w:r>
            <w:r>
              <w:rPr>
                <w:rFonts w:ascii="Arial" w:cs="Arial" w:eastAsia="Arial" w:hAnsi="Arial"/>
                <w:sz w:val="19"/>
                <w:szCs w:val="19"/>
              </w:rPr>
              <w:t xml:space="preserve"> reads as “a special cultural element”; the established rendering is </w:t>
            </w:r>
            <w:r>
              <w:rPr>
                <w:rFonts w:ascii="Arial" w:cs="Arial" w:hAnsi="Arial"/>
                <w:sz w:val="19"/>
                <w:szCs w:val="20"/>
                <w:rtl/>
              </w:rPr>
              <w:t xml:space="preserve">عنصر ذو خصوصية ثقافية</w:t>
            </w:r>
            <w:r>
              <w:rPr>
                <w:rFonts w:ascii="Arial" w:cs="Arial" w:eastAsia="Arial" w:hAnsi="Arial"/>
                <w:sz w:val="19"/>
                <w:szCs w:val="19"/>
              </w:rPr>
              <w:t xml:space="preserve">, which also matches </w:t>
            </w:r>
            <w:r>
              <w:rPr>
                <w:rFonts w:ascii="Arial" w:cs="Arial" w:hAnsi="Arial"/>
                <w:sz w:val="19"/>
                <w:szCs w:val="20"/>
                <w:rtl/>
              </w:rPr>
              <w:t xml:space="preserve">مصطلح ذو خصوصية ثقافية</w:t>
            </w:r>
            <w:r>
              <w:rPr>
                <w:rFonts w:ascii="Arial" w:cs="Arial" w:eastAsia="Arial" w:hAnsi="Arial"/>
                <w:sz w:val="19"/>
                <w:szCs w:val="19"/>
              </w:rPr>
              <w:t xml:space="preserve"> in Chapter 27.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asks “What is cultural approximation?” but the paragraph opens with an unclear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في جيبي</w:t>
            </w:r>
            <w:r>
              <w:rPr>
                <w:rFonts w:ascii="Arial" w:cs="Arial" w:eastAsia="Arial" w:hAnsi="Arial"/>
                <w:sz w:val="19"/>
                <w:szCs w:val="19"/>
              </w:rPr>
              <w:t xml:space="preserve"> in this sense is informal/spoken usage and should be labelled, as the chapter labels other colloquial forms.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proverb is colloquial (e.g. </w:t>
            </w:r>
            <w:r>
              <w:rPr>
                <w:rFonts w:ascii="Arial" w:cs="Arial" w:hAnsi="Arial"/>
                <w:sz w:val="19"/>
                <w:szCs w:val="20"/>
                <w:rtl/>
              </w:rPr>
              <w:t xml:space="preserve">تطلع</w:t>
            </w:r>
            <w:r>
              <w:rPr>
                <w:rFonts w:ascii="Arial" w:cs="Arial" w:eastAsia="Arial" w:hAnsi="Arial"/>
                <w:sz w:val="19"/>
                <w:szCs w:val="19"/>
              </w:rPr>
              <w:t xml:space="preserve">), not MSA, and the handbook elsewhere requires colloquial forms to be labelled (Chapter 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زي أم العروس</w:t>
            </w:r>
            <w:r>
              <w:rPr>
                <w:rFonts w:ascii="Arial" w:cs="Arial" w:eastAsia="Arial" w:hAnsi="Arial"/>
                <w:sz w:val="19"/>
                <w:szCs w:val="19"/>
              </w:rPr>
              <w:t xml:space="preserve"> (from </w:t>
            </w:r>
            <w:r>
              <w:rPr>
                <w:rFonts w:ascii="Arial" w:cs="Arial" w:hAnsi="Arial"/>
                <w:sz w:val="19"/>
                <w:szCs w:val="20"/>
                <w:rtl/>
              </w:rPr>
              <w:t xml:space="preserve">زي أم العروس فاضية ومشغولة</w:t>
            </w:r>
            <w:r>
              <w:rPr>
                <w:rFonts w:ascii="Arial" w:cs="Arial" w:eastAsia="Arial" w:hAnsi="Arial"/>
                <w:sz w:val="19"/>
                <w:szCs w:val="19"/>
              </w:rPr>
              <w:t xml:space="preserve">) describes someone who fusses without achieving much, the opposite of industrious “busy as a bee”; and </w:t>
            </w:r>
            <w:r>
              <w:rPr>
                <w:rFonts w:ascii="Arial" w:cs="Arial" w:hAnsi="Arial"/>
                <w:sz w:val="19"/>
                <w:szCs w:val="20"/>
                <w:rtl/>
              </w:rPr>
              <w:t xml:space="preserve">مشغول جداً</w:t>
            </w:r>
            <w:r>
              <w:rPr>
                <w:rFonts w:ascii="Arial" w:cs="Arial" w:eastAsia="Arial" w:hAnsi="Arial"/>
                <w:sz w:val="19"/>
                <w:szCs w:val="19"/>
              </w:rPr>
              <w:t xml:space="preserve"> is a plain paraphrase, not a cultural equivalent as the heading promises.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indefinite (“a scapegoat”) and the fixed Arabic expression is normally indefinite (</w:t>
            </w:r>
            <w:r>
              <w:rPr>
                <w:rFonts w:ascii="Arial" w:cs="Arial" w:hAnsi="Arial"/>
                <w:sz w:val="19"/>
                <w:szCs w:val="20"/>
                <w:rtl/>
              </w:rPr>
              <w:t xml:space="preserve">جعلوه كبشَ فداء</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مأمور الشرطة</w:t>
            </w:r>
            <w:r>
              <w:rPr>
                <w:rFonts w:ascii="Arial" w:cs="Arial" w:eastAsia="Arial" w:hAnsi="Arial"/>
                <w:sz w:val="19"/>
                <w:szCs w:val="19"/>
              </w:rPr>
              <w:t xml:space="preserve"> is an Egyptian police-station rank, whereas a US sheriff is the elected chief law officer of a county, so the shown equivalent does not translate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a noun (a process) but the Arabic is a clause about a product (</w:t>
            </w:r>
            <w:r>
              <w:rPr>
                <w:rFonts w:ascii="Arial" w:cs="Arial" w:hAnsi="Arial"/>
                <w:sz w:val="19"/>
                <w:szCs w:val="20"/>
                <w:rtl/>
              </w:rPr>
              <w:t xml:space="preserve">منتج يزاحم</w:t>
            </w:r>
            <w:r>
              <w:rPr>
                <w:rFonts w:ascii="Arial" w:cs="Arial" w:eastAsia="Arial" w:hAnsi="Arial"/>
                <w:sz w:val="19"/>
                <w:szCs w:val="19"/>
              </w:rPr>
              <w:t xml:space="preserve">); a verbal noun keeps the same word class.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gives “Explanatory translation” the Arabic </w:t>
            </w:r>
            <w:r>
              <w:rPr>
                <w:rFonts w:ascii="Arial" w:cs="Arial" w:hAnsi="Arial"/>
                <w:sz w:val="19"/>
                <w:szCs w:val="20"/>
                <w:rtl/>
              </w:rPr>
              <w:t xml:space="preserve">الترجمة الشرحية</w:t>
            </w:r>
            <w:r>
              <w:rPr>
                <w:rFonts w:ascii="Arial" w:cs="Arial" w:eastAsia="Arial" w:hAnsi="Arial"/>
                <w:sz w:val="19"/>
                <w:szCs w:val="19"/>
              </w:rPr>
              <w:t xml:space="preserve">, so the glossary shows two Arabic terms for one concept without linking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concept need not be “complex”; the definition should match Chapter 21, where a term “names a concept”.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steps present transliteration as obligatory, but descriptive translation is paraphrase and can stand alone, as the chapter’s own _sectioned_ example shows; “dense technical terms”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is levied on wealth held above the nisab for a lunar year (and on certain produce and livestock), not on income, so the gloss is factually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Tayammum is wiping, not washing, and applies also when water cannot be used (e.g. illness), so “ritual washing” misdescribes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لا حول ولا قوة إلا بالله</w:t>
            </w:r>
            <w:r>
              <w:rPr>
                <w:rFonts w:ascii="Arial" w:cs="Arial" w:eastAsia="Arial" w:hAnsi="Arial"/>
                <w:sz w:val="19"/>
                <w:szCs w:val="19"/>
              </w:rPr>
              <w:t xml:space="preserve"> is conventionally rendered “no might nor power except by God”; </w:t>
            </w:r>
            <w:r>
              <w:rPr>
                <w:rFonts w:ascii="Arial" w:cs="Arial" w:hAnsi="Arial"/>
                <w:sz w:val="19"/>
                <w:szCs w:val="20"/>
                <w:rtl/>
              </w:rPr>
              <w:t xml:space="preserve">حول</w:t>
            </w:r>
            <w:r>
              <w:rPr>
                <w:rFonts w:ascii="Arial" w:cs="Arial" w:eastAsia="Arial" w:hAnsi="Arial"/>
                <w:sz w:val="19"/>
                <w:szCs w:val="19"/>
              </w:rPr>
              <w:t xml:space="preserve"> is closer to “might/ability to change” than to “power”, which renders </w:t>
            </w:r>
            <w:r>
              <w:rPr>
                <w:rFonts w:ascii="Arial" w:cs="Arial" w:hAnsi="Arial"/>
                <w:sz w:val="19"/>
                <w:szCs w:val="20"/>
                <w:rtl/>
              </w:rPr>
              <w:t xml:space="preserve">قوة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النحت</w:t>
            </w:r>
            <w:r>
              <w:rPr>
                <w:rFonts w:ascii="Arial" w:cs="Arial" w:eastAsia="Arial" w:hAnsi="Arial"/>
                <w:sz w:val="19"/>
                <w:szCs w:val="19"/>
              </w:rPr>
              <w:t xml:space="preserve"> is specifically blending two words into one (e.g. </w:t>
            </w:r>
            <w:r>
              <w:rPr>
                <w:rFonts w:ascii="Arial" w:cs="Arial" w:hAnsi="Arial"/>
                <w:sz w:val="19"/>
                <w:szCs w:val="20"/>
                <w:rtl/>
              </w:rPr>
              <w:t xml:space="preserve">البسملة</w:t>
            </w:r>
            <w:r>
              <w:rPr>
                <w:rFonts w:ascii="Arial" w:cs="Arial" w:eastAsia="Arial" w:hAnsi="Arial"/>
                <w:sz w:val="19"/>
                <w:szCs w:val="19"/>
              </w:rPr>
              <w:t xml:space="preserve">, </w:t>
            </w:r>
            <w:r>
              <w:rPr>
                <w:rFonts w:ascii="Arial" w:cs="Arial" w:hAnsi="Arial"/>
                <w:sz w:val="19"/>
                <w:szCs w:val="20"/>
                <w:rtl/>
              </w:rPr>
              <w:t xml:space="preserve">برمائي</w:t>
            </w:r>
            <w:r>
              <w:rPr>
                <w:rFonts w:ascii="Arial" w:cs="Arial" w:eastAsia="Arial" w:hAnsi="Arial"/>
                <w:sz w:val="19"/>
                <w:szCs w:val="19"/>
              </w:rPr>
              <w:t xml:space="preserve">); lexical creation in general is </w:t>
            </w:r>
            <w:r>
              <w:rPr>
                <w:rFonts w:ascii="Arial" w:cs="Arial" w:hAnsi="Arial"/>
                <w:sz w:val="19"/>
                <w:szCs w:val="20"/>
                <w:rtl/>
              </w:rPr>
              <w:t xml:space="preserve">التوليد المعجمي</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chapter’s own example (</w:t>
            </w:r>
            <w:r>
              <w:rPr>
                <w:rFonts w:ascii="Arial" w:cs="Arial" w:hAnsi="Arial"/>
                <w:sz w:val="19"/>
                <w:szCs w:val="20"/>
                <w:rtl/>
              </w:rPr>
              <w:t xml:space="preserve">مدوّنة</w:t>
            </w:r>
            <w:r>
              <w:rPr>
                <w:rFonts w:ascii="Arial" w:cs="Arial" w:eastAsia="Arial" w:hAnsi="Arial"/>
                <w:sz w:val="19"/>
                <w:szCs w:val="19"/>
              </w:rPr>
              <w:t xml:space="preserve"> for _blog_) is an existing Arabic word given a new sense, not a “completely new word”; neologisms standardly include new senses.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gives calque as </w:t>
            </w:r>
            <w:r>
              <w:rPr>
                <w:rFonts w:ascii="Arial" w:cs="Arial" w:hAnsi="Arial"/>
                <w:sz w:val="19"/>
                <w:szCs w:val="20"/>
                <w:rtl/>
              </w:rPr>
              <w:t xml:space="preserve">النسخ</w:t>
            </w:r>
            <w:r>
              <w:rPr>
                <w:rFonts w:ascii="Arial" w:cs="Arial" w:eastAsia="Arial" w:hAnsi="Arial"/>
                <w:sz w:val="19"/>
                <w:szCs w:val="19"/>
              </w:rPr>
              <w:t xml:space="preserve">; two different Arabic terms for the same concept will confuse readers and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مدوّنة</w:t>
            </w:r>
            <w:r>
              <w:rPr>
                <w:rFonts w:ascii="Arial" w:cs="Arial" w:eastAsia="Arial" w:hAnsi="Arial"/>
                <w:sz w:val="19"/>
                <w:szCs w:val="19"/>
              </w:rPr>
              <w:t xml:space="preserve"> was not invented but derived from the root </w:t>
            </w:r>
            <w:r>
              <w:rPr>
                <w:rFonts w:ascii="Arial" w:cs="Arial" w:hAnsi="Arial"/>
                <w:sz w:val="19"/>
                <w:szCs w:val="20"/>
                <w:rtl/>
              </w:rPr>
              <w:t xml:space="preserve">د و ن</w:t>
            </w:r>
            <w:r>
              <w:rPr>
                <w:rFonts w:ascii="Arial" w:cs="Arial" w:eastAsia="Arial" w:hAnsi="Arial"/>
                <w:sz w:val="19"/>
                <w:szCs w:val="19"/>
              </w:rPr>
              <w:t xml:space="preserve"> and extended in meaning; derivation, the main Arabic coinage method, is otherwise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عيد الحب</w:t>
            </w:r>
            <w:r>
              <w:rPr>
                <w:rFonts w:ascii="Arial" w:cs="Arial" w:eastAsia="Arial" w:hAnsi="Arial"/>
                <w:sz w:val="19"/>
                <w:szCs w:val="19"/>
              </w:rPr>
              <w:t xml:space="preserve"> (“the feast of love”) is not a loan translation of _Valentine’s Day_ (a calque would be </w:t>
            </w:r>
            <w:r>
              <w:rPr>
                <w:rFonts w:ascii="Arial" w:cs="Arial" w:hAnsi="Arial"/>
                <w:sz w:val="19"/>
                <w:szCs w:val="20"/>
                <w:rtl/>
              </w:rPr>
              <w:t xml:space="preserve">عيد القديس فالنتاين</w:t>
            </w:r>
            <w:r>
              <w:rPr>
                <w:rFonts w:ascii="Arial" w:cs="Arial" w:eastAsia="Arial" w:hAnsi="Arial"/>
                <w:sz w:val="19"/>
                <w:szCs w:val="19"/>
              </w:rPr>
              <w:t xml:space="preserve">); it is a descriptive/functional rendering, so it is a wrong example of calque.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item promises “a short definition” but gives none for _waqf_ or _radio_, and it omits the standard Arabic term </w:t>
            </w:r>
            <w:r>
              <w:rPr>
                <w:rFonts w:ascii="Arial" w:cs="Arial" w:hAnsi="Arial"/>
                <w:sz w:val="19"/>
                <w:szCs w:val="20"/>
                <w:rtl/>
              </w:rPr>
              <w:t xml:space="preserve">التعريب</w:t>
            </w:r>
            <w:r>
              <w:rPr>
                <w:rFonts w:ascii="Arial" w:cs="Arial" w:eastAsia="Arial" w:hAnsi="Arial"/>
                <w:sz w:val="19"/>
                <w:szCs w:val="19"/>
              </w:rPr>
              <w:t xml:space="preserve"> for borrowing into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what “hybrid” means; the example (</w:t>
            </w:r>
            <w:r>
              <w:rPr>
                <w:rFonts w:ascii="Arial" w:cs="Arial" w:hAnsi="Arial"/>
                <w:sz w:val="19"/>
                <w:szCs w:val="20"/>
                <w:rtl/>
              </w:rPr>
              <w:t xml:space="preserve">الأمن</w:t>
            </w:r>
            <w:r>
              <w:rPr>
                <w:rFonts w:ascii="Arial" w:cs="Arial" w:eastAsia="Arial" w:hAnsi="Arial"/>
                <w:sz w:val="19"/>
                <w:szCs w:val="19"/>
              </w:rPr>
              <w:t xml:space="preserve"> translated + </w:t>
            </w:r>
            <w:r>
              <w:rPr>
                <w:rFonts w:ascii="Arial" w:cs="Arial" w:hAnsi="Arial"/>
                <w:sz w:val="19"/>
                <w:szCs w:val="20"/>
                <w:rtl/>
              </w:rPr>
              <w:t xml:space="preserve">السيبراني</w:t>
            </w:r>
            <w:r>
              <w:rPr>
                <w:rFonts w:ascii="Arial" w:cs="Arial" w:eastAsia="Arial" w:hAnsi="Arial"/>
                <w:sz w:val="19"/>
                <w:szCs w:val="19"/>
              </w:rPr>
              <w:t xml:space="preserve"> borrowed) needs one short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w:t>
            </w:r>
            <w:r>
              <w:rPr>
                <w:rFonts w:ascii="Arial" w:cs="Arial" w:hAnsi="Arial"/>
                <w:sz w:val="19"/>
                <w:szCs w:val="20"/>
                <w:rtl/>
              </w:rPr>
              <w:t xml:space="preserve">النحت</w:t>
            </w:r>
            <w:r>
              <w:rPr>
                <w:rFonts w:ascii="Arial" w:cs="Arial" w:eastAsia="Arial" w:hAnsi="Arial"/>
                <w:sz w:val="19"/>
                <w:szCs w:val="19"/>
              </w:rPr>
              <w:t xml:space="preserve">), a classic Arabic coinage method (cf. </w:t>
            </w: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in Chapter 15), is absent, which specialist readers will notice now that the key-term Arabic no longer misuses the word.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التعجيم</w:t>
            </w:r>
            <w:r>
              <w:rPr>
                <w:rFonts w:ascii="Arial" w:cs="Arial" w:eastAsia="Arial" w:hAnsi="Arial"/>
                <w:sz w:val="19"/>
                <w:szCs w:val="19"/>
              </w:rPr>
              <w:t xml:space="preserve"> is not the Arabic term for lexicalisation (it evokes </w:t>
            </w:r>
            <w:r>
              <w:rPr>
                <w:rFonts w:ascii="Arial" w:cs="Arial" w:hAnsi="Arial"/>
                <w:sz w:val="19"/>
                <w:szCs w:val="20"/>
                <w:rtl/>
              </w:rPr>
              <w:t xml:space="preserve">الإعجام</w:t>
            </w:r>
            <w:r>
              <w:rPr>
                <w:rFonts w:ascii="Arial" w:cs="Arial" w:eastAsia="Arial" w:hAnsi="Arial"/>
                <w:sz w:val="19"/>
                <w:szCs w:val="19"/>
              </w:rPr>
              <w:t xml:space="preserve">, dotting letters, or making foreign); the usual term is </w:t>
            </w:r>
            <w:r>
              <w:rPr>
                <w:rFonts w:ascii="Arial" w:cs="Arial" w:hAnsi="Arial"/>
                <w:sz w:val="19"/>
                <w:szCs w:val="20"/>
                <w:rtl/>
              </w:rPr>
              <w:t xml:space="preserve">المَعْجَمة</w:t>
            </w:r>
            <w:r>
              <w:rPr>
                <w:rFonts w:ascii="Arial" w:cs="Arial" w:eastAsia="Arial" w:hAnsi="Arial"/>
                <w:sz w:val="19"/>
                <w:szCs w:val="19"/>
              </w:rPr>
              <w:t xml:space="preserve">, and lexicalisation means entering general use, not becoming “official”.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linguists do not limit text to writing, and a random word or sentence is not a text unless it forms a meaningful whole (e.g. a sign saying “Exit”).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Calling genre “the type of text” contradicts Chapter 18, which separates text type (function) from genre; the glossary keeps this first definition, so it must match Chapter 18.</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audiences” is unclear for a beginner.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worked example skips checklist item 4 (genre and purpose), and Chapter 2 describes the same KUNA report as “formal and neutral”.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text type is a category, not “texts”; and </w:t>
            </w:r>
            <w:r>
              <w:rPr>
                <w:rFonts w:ascii="Arial" w:cs="Arial" w:hAnsi="Arial"/>
                <w:sz w:val="19"/>
                <w:szCs w:val="20"/>
                <w:rtl/>
              </w:rPr>
              <w:t xml:space="preserve">نمط النص</w:t>
            </w:r>
            <w:r>
              <w:rPr>
                <w:rFonts w:ascii="Arial" w:cs="Arial" w:eastAsia="Arial" w:hAnsi="Arial"/>
                <w:sz w:val="19"/>
                <w:szCs w:val="19"/>
              </w:rPr>
              <w:t xml:space="preserve"> is the usual Arabic term that keeps it distinct from genre (</w:t>
            </w:r>
            <w:r>
              <w:rPr>
                <w:rFonts w:ascii="Arial" w:cs="Arial" w:hAnsi="Arial"/>
                <w:sz w:val="19"/>
                <w:szCs w:val="20"/>
                <w:rtl/>
              </w:rPr>
              <w:t xml:space="preserve">الجنس النصّي</w:t>
            </w:r>
            <w:r>
              <w:rPr>
                <w:rFonts w:ascii="Arial" w:cs="Arial" w:eastAsia="Arial" w:hAnsi="Arial"/>
                <w:sz w:val="19"/>
                <w:szCs w:val="19"/>
              </w:rPr>
              <w:t xml:space="preserve">), whereas </w:t>
            </w:r>
            <w:r>
              <w:rPr>
                <w:rFonts w:ascii="Arial" w:cs="Arial" w:hAnsi="Arial"/>
                <w:sz w:val="19"/>
                <w:szCs w:val="20"/>
                <w:rtl/>
              </w:rPr>
              <w:t xml:space="preserve">نوع النص</w:t>
            </w:r>
            <w:r>
              <w:rPr>
                <w:rFonts w:ascii="Arial" w:cs="Arial" w:eastAsia="Arial" w:hAnsi="Arial"/>
                <w:sz w:val="19"/>
                <w:szCs w:val="19"/>
              </w:rPr>
              <w:t xml:space="preserve"> blurs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Reiss the expressive type is form-focused artistic composition (the author’s creative use of language), not simply texts that “express feelings”.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example, _shall be governed_ states a rule of legal effect rather than an obligation on a party, so “obligation” alone does not fit the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presents a three-dimensional model (text, discourse practice, social practice), not three questions; the questions are the handbook’s adaptation.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Attributes the three questions directly to Fairclough, whereas they are a simplified adaptation of his three dimensions.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absolute claim that no word is neutral is overstated for a linguist readership (function words, most technical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does not discuss clients’ rules; Chapter 2 (“Clients have their own style and rules”, the brief)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arrow used in every other example is missing, so the Arabic appears to run on from the English sentence.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“Regime” is neutral in other senses (_tax regime_, _a training regime_), so the claim needs a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 into a checklist” is circular.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meaning is often correct; the point is to check it, not to reject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“but slower and may lack” mixes an adjective and a verb phrase without a subject.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cited work (Munir Baalbaki) is English–Arabic only; the Arabic–English _Al-Mawrid_ is by Rohi Baalbaki and is not in the References, so the item misattributes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that Wehr is a bilingual Arabic–English dictionary, which is its main use for AR → EN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There are several Arabic language academies (Chapter 21 names three); _al-Muʿjam al-Wasīṭ_ is the Cairo academy’s, and “Arabic meanings” does not say it is monolingual (needed for step 2 of the three-check rule). The reference entry should also name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also names the set of terms of a field, a sense the handbook uses later (e.g. ‘legal terminology’), and المصطلحية is the other standard Arabic name for the discipline.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Terminologists mainly collect, describe and record terms, and translation-oriented terminology work (UNTERM, IATE, Arabterm) is bilingual or multilingual, so ‘creates … usually in one language’ misdescribes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misdescription as the key term: terminologists work on terms, not texts, often across languages, and standardisation is only part of their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and the steps below say to search termbases and academies before creating a term, so a dictionary alone is not enough.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بنك المصطلحات (term bank) is the widespread Arabic name for large termbases such as UNTERM and should be given so readers recognise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Clipping can also keep the end or middle of a word (phone, flu), so ‘the first part’ is too narrow.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omits Damascus, the oldest academy (1919), and the Rabat Coordination Bureau of Arabization, the main body that standardises academy terms across Arab countries.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القانون الحاكم is widely used in Arab contract practice, so ‘not’ is too prescriptive for expert readers; calling it a calque keeps the advice.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and the risk matrix say ‘specialised dictionary’, and dictionaries record terms but do not necessarily hold ‘approved’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answer repeats the incorrect ‘usually in one language’ description of a terminologist.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should prepare for the light/full distinction, which is basic to post-editing.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the definition would also cover a translator’s justified additions; a hallucination is invented or false content.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doctor said she…’ the pronoun may refer to someone else (e.g. the patient), so the machine’s masculine choice is not clearly wrong; ‘her shift’ removes the ambiguity.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never mentions the basic light vs full post-editing distinction, which clients use to set the level of work and the price.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claims from the course materials carry the citation (Translation Team, n.d.), as the front matter says.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‘May you…?’ is not idiomatic English for a permission question.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nominal sentence such as الحكومة أعلنت is grammatical MSA, so for expert readers it must be presented as a style problem, not an error.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‘correct’ نعم، شكراً؟ is an odd sentence as a question; the example needs a real question for the question mark.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Many British style guides accept lower case in ‘the minister of health’, so that ‘wrong’ example is not really wrong; a title placed before a name always takes capitals.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separates self-revision (checking your own draft) from revision of another translator’s work, and this chapter describes self-revision.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 hardest’ is unidiomatic.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column mixes correct and wrong renderings without marking them, so a beginner could copy the wrong سوف; the handbook’s ✗ sign fixes this.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أدفأ قلبي is the wrong rendering (Chapter 14 gives أثلج صدري), but nothing in the table marks it as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plainer model sentence suits beginners and avoids the heavy ‘due to its irrelevance’.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description serves blind and partially sighted audiences; the accepted accessibility wording names both.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‘Completely’ overstates the point; translation decisions in AVT are still human.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describes free commentary as an adaptation for children’s programmes, documentaries and corporate videos; sports commentary is original commentary, not a type of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 the corrected key-term wording and include partially sighted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subtitles also serve partially sighted viewers and others who cannot read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In-vision signing means an interpreter shown in the picture, and it serves deaf sign-language users, not all deaf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article is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‘Missed opportunities’ is the idiomatic 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leaves out intralingual subtitles (listed below) and the on-screen text and songs that subtitles also render (Díaz Cintas &amp; Remael).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names the same concept ‘culture-specific item’ (عنصر ثقافي خاص), so the two terms should be linked.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gives only the space limit and leaves out time (reading speed, display time, spotting), the other main subtitling norm that Chapter 26 refers to (‘limits of space and time’).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 term SDH is missing, and SDH also serves hard-of-hearing viewers and describes sounds as well as dialogue.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Surtitles are defined by their position above the stage, mainly in opera, and this is what separates them from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exposure only matters for viewers who understand some of the source language.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Blaming softening only on censorship is one-sided and ignores audience norms and the written-medium effect (Díaz Cintas &amp; Remael, 2007); a neutral list of reasons is fairer to Arab broadcasters and audiences.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Brings the model answer into line with the corrected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text’s ‘normally’ and the added time limit.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‘Within the space and time’ is incomplete.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idiom is never translated word by word” contradicted Chapters 9 and 11, where shared idioms are kept.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instruction for Part C now says “one mistake or one unnatural choice”, because one item is grammatical but unnatural.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reference for al-Muʿjam al-Wasīṭ now names the Academy of the Arabic Language in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handbook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it in order” has no clear antecedent; the reader should read the parts in order.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is used 11 times in the handbook (first in “How to use this handbook”) but is missing from the Abbreviations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SLC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TLC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relies on the collocation قدّم استقالته, which is taught in Chapter 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questions are in three lists (A, B, C) of five items each, but the key numbers its answers 1 to 15 in one list, so a beginner cannot easily match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B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C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الحكومة أعلنت is not ungrammatical, and the key should say so, as Chapter 23 now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الخيل is plural (collective), so the classical alternative must be ‘steeds’.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silently makes the addressee feminine, but Sonnet 18 is in the ‘Fair Youth’ sequence; experts will notice, and this is a good example of Arabic forcing a gender choice (Jakobson, Chapter 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 an evening attended by’ is awkward English; ‘event’ is the natural rendering of أمسية here.</w:t>
            </w:r>
          </w:p>
        </w:tc>
      </w:tr>
    </w:tbl>
    <w:p>
      <w:pPr>
        <w:spacing w:after="160"/>
      </w:pPr>
    </w:p>
    <w:p>
      <w:pPr>
        <w:pStyle w:val="Heading1"/>
      </w:pPr>
      <w:r>
        <w:t xml:space="preserve">4. Points to check against the printed sources</w:t>
      </w:r>
    </w:p>
    <w:p>
      <w:pPr>
        <w:spacing w:after="140" w:line="300"/>
        <w:jc w:val="both"/>
      </w:pPr>
      <w:r>
        <w:rPr>
          <w:rFonts w:ascii="Arial" w:cs="Arial" w:eastAsia="Arial" w:hAnsi="Arial"/>
        </w:rPr>
        <w:t xml:space="preserve">These points were not changed, because the reviewer could not confirm them without the original books or the team’s course materials.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7438"/>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 to check</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 TL, SLC, TLC and TS appear only in the Abbreviations list and nowhere in the text; either use them or remove them from the list.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Hārūn’s edition this passage is in Vol. 1, around p. 76 – please verify against the edition before adding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groups do not match Ghazala (2008), cited in this chapter’s introduction, whose four problem areas are grammatical, lexical, stylistic and phonological; “general or technical texts” is a text category, not a problem type. Check the course materials and align or attribute.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paraphrase of Nida and Taber (1969) is close to a quotation (“unless the form is an essential element of the message”); consider adding the page number (p. 4 in the 1969 edition – please verify).</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frames this as propositional versus expressive meaning rather than denotation/connotation; check that the citation supports the terms used or say “what Baker calls expressive meaning”.</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يساورني القلق</w:t>
            </w:r>
            <w:r>
              <w:rPr>
                <w:rFonts w:ascii="Arial" w:cs="Arial" w:eastAsia="Arial" w:hAnsi="Arial"/>
                <w:sz w:val="19"/>
                <w:szCs w:val="19"/>
              </w:rPr>
              <w:t xml:space="preserve"> means 'I am worried/uneasy'; 'growing' adds a nuance not in the Arabic (the Answer key in c2b.js repeats it), so consider _I am worried_ or _I feel uneasy_.</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title promises fixed expressions, but the chapter never defines or discusses them (no key term, no example labelled as such); either add one line or shorten the title.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without a page number, unlike the other quotations in this part (Firth p. 11, Newmark p. 81); add the page in the Venuti reader (3rd ed.) after checking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_not impossible_ is a hedge ('possible, though hard'); </w:t>
            </w:r>
            <w:r>
              <w:rPr>
                <w:rFonts w:ascii="Arial" w:cs="Arial" w:hAnsi="Arial"/>
                <w:sz w:val="19"/>
                <w:szCs w:val="20"/>
                <w:rtl/>
              </w:rPr>
              <w:t xml:space="preserve">ممكنة</w:t>
            </w:r>
            <w:r>
              <w:rPr>
                <w:rFonts w:ascii="Arial" w:cs="Arial" w:eastAsia="Arial" w:hAnsi="Arial"/>
                <w:sz w:val="19"/>
                <w:szCs w:val="19"/>
              </w:rPr>
              <w:t xml:space="preserve"> drops it, and the natural literal </w:t>
            </w:r>
            <w:r>
              <w:rPr>
                <w:rFonts w:ascii="Arial" w:cs="Arial" w:hAnsi="Arial"/>
                <w:sz w:val="19"/>
                <w:szCs w:val="20"/>
                <w:rtl/>
              </w:rPr>
              <w:t xml:space="preserve">ليست مستحيلة</w:t>
            </w:r>
            <w:r>
              <w:rPr>
                <w:rFonts w:ascii="Arial" w:cs="Arial" w:eastAsia="Arial" w:hAnsi="Arial"/>
                <w:sz w:val="19"/>
                <w:szCs w:val="19"/>
              </w:rPr>
              <w:t xml:space="preserve"> goes against the rule of using oblique procedures only when direct ones fail. Consider a note or a clearer modulation.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TS 'functional translation' usually means Nord's whole-text functionalist approach (cited in Chapter 2); using the same label for idiom-for-idiom rendering may confuse specialists. Consider a note or another label if the course materials allow.</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Sonnet 18 belongs to the “Fair Youth” sequence, so the feminine </w:t>
            </w:r>
            <w:r>
              <w:rPr>
                <w:rFonts w:ascii="Arial" w:cs="Arial" w:hAnsi="Arial"/>
                <w:sz w:val="19"/>
                <w:szCs w:val="20"/>
                <w:rtl/>
              </w:rPr>
              <w:t xml:space="preserve">أأشبّهكِ</w:t>
            </w:r>
            <w:r>
              <w:rPr>
                <w:rFonts w:ascii="Arial" w:cs="Arial" w:eastAsia="Arial" w:hAnsi="Arial"/>
                <w:sz w:val="19"/>
                <w:szCs w:val="19"/>
              </w:rPr>
              <w:t xml:space="preserve"> (here and in the Answer key 2c) is an interpretive choice that specialist readers will notice; consider a note or </w:t>
            </w:r>
            <w:r>
              <w:rPr>
                <w:rFonts w:ascii="Arial" w:cs="Arial" w:hAnsi="Arial"/>
                <w:sz w:val="19"/>
                <w:szCs w:val="20"/>
                <w:rtl/>
              </w:rPr>
              <w:t xml:space="preserve">أأشبّهك</w:t>
            </w:r>
            <w:r>
              <w:rPr>
                <w:rFonts w:ascii="Arial" w:cs="Arial" w:eastAsia="Arial" w:hAnsi="Arial"/>
                <w:sz w:val="19"/>
                <w:szCs w:val="19"/>
              </w:rPr>
              <w:t xml:space="preserve"> without a vowel, and align the wording with Answer key 2c (</w:t>
            </w:r>
            <w:r>
              <w:rPr>
                <w:rFonts w:ascii="Arial" w:cs="Arial" w:hAnsi="Arial"/>
                <w:sz w:val="19"/>
                <w:szCs w:val="20"/>
                <w:rtl/>
              </w:rPr>
              <w:t xml:space="preserve">بيومٍ من أيام الربيع</w:t>
            </w:r>
            <w:r>
              <w:rPr>
                <w:rFonts w:ascii="Arial" w:cs="Arial" w:eastAsia="Arial" w:hAnsi="Arial"/>
                <w:sz w:val="19"/>
                <w:szCs w:val="19"/>
              </w:rPr>
              <w:t xml:space="preserv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sentence implies that the academies, UNTERM or Arabterm record _cancel culture_ → </w:t>
            </w:r>
            <w:r>
              <w:rPr>
                <w:rFonts w:ascii="Arial" w:cs="Arial" w:hAnsi="Arial"/>
                <w:sz w:val="19"/>
                <w:szCs w:val="20"/>
                <w:rtl/>
              </w:rPr>
              <w:t xml:space="preserve">ثقافة الإلغاء</w:t>
            </w:r>
            <w:r>
              <w:rPr>
                <w:rFonts w:ascii="Arial" w:cs="Arial" w:eastAsia="Arial" w:hAnsi="Arial"/>
                <w:sz w:val="19"/>
                <w:szCs w:val="19"/>
              </w:rPr>
              <w:t xml:space="preserve">; this is a media coinage and should be checked in those sources or presented as “widely used”.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“Mental draft” does not appear to be Nord’s term (her 2005 model is about source-text analysis factors); check that the citation supports this exact point or move it to a point Nord makes.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APA; this passage is on p. 11 of Newmark (1988) in the Prentice Hall edition, so verify and replace “Chapter 2” with the page.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line is Practice text 2b, so giving its translation here pre-empts the exercise; consider another short poetic example.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7 and 10 (c2a.js) give يقوم بزيارة as the correct rendering of ‘pay a visit’, but Chapter 23 lists overuse of قام بـ as a mistake; the key (زارت) agrees with Chapter 23, so c2a should be brought into line or the key should mention قامت بزيارة.</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Citing the course materials for a plan for future editions is odd; check whether the citation belongs here or should be removed.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risk-management Arabic, ‘risk’ is usually المخاطرة (or المخاطر), while الخطر often means ‘hazard/danger’; consider </w:t>
            </w:r>
            <w:r>
              <w:rPr>
                <w:rFonts w:ascii="Arial" w:cs="Arial" w:hAnsi="Arial"/>
                <w:sz w:val="19"/>
                <w:szCs w:val="20"/>
                <w:rtl/>
              </w:rPr>
              <w:t xml:space="preserve">المخاطرة</w:t>
            </w:r>
            <w:r>
              <w:rPr>
                <w:rFonts w:ascii="Arial" w:cs="Arial" w:eastAsia="Arial" w:hAnsi="Arial"/>
                <w:sz w:val="19"/>
                <w:szCs w:val="19"/>
              </w:rPr>
              <w:t xml:space="preserve"> to match إدارة المخاطر and مصفوفة تقييم المخاطر.</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2026-09-24T21:25:43.304Z</dcterms:created>
  <dcterms:modified xsi:type="dcterms:W3CDTF">2026-09-24T21:25:43.304Z</dcterms:modified>
</cp:coreProperties>
</file>

<file path=docProps/custom.xml><?xml version="1.0" encoding="utf-8"?>
<Properties xmlns="http://schemas.openxmlformats.org/officeDocument/2006/custom-properties" xmlns:vt="http://schemas.openxmlformats.org/officeDocument/2006/docPropsVTypes"/>
</file>