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86 pages including the covers, B5 page size (176 × 250 mm), with 9 parts and 27 chapters, followed by a glossary of 103 terms, a list of 38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(Masooma’s chapter)</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and examples from Shaikha (paragraphs 51, 52 and 55).</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38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and the glossary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103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practice section at three levels was written and then removed at the team’s request to keep the handbook short (Section 8.5). Every chapter still has a “Try it” exercise with answers.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where news texts would have been used, was removed. Authentic texts would also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 and poetic metaphors.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then removed at the team’s request to keep the handbook short (Section 8.5). The analysis checklist in Chapter 17 remains.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at the team’s request to keep the handbook short (Section 8.5).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Fairclough checklist was written and later removed with the other checklists (Section 8.5). The checklist based on Dr Abdullah’s framework was not written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has its answers directly after it. The separate answer key was removed with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Recorded in this report; the note on future editions was removed from the handbook.</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acknowledgements, how to use this handbook, abbreviations.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 material that draws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Introduction:</w:t>
      </w:r>
      <w:r>
        <w:rPr>
          <w:rFonts w:ascii="Arial" w:cs="Arial" w:eastAsia="Arial" w:hAnsi="Arial"/>
        </w:rPr>
        <w:t xml:space="preserve"> what the chapter is about and how it follows from the previous one.</w:t>
      </w:r>
    </w:p>
    <w:p>
      <w:pPr>
        <w:pStyle w:val="ListParagraph"/>
        <w:numPr>
          <w:ilvl w:val="0"/>
          <w:numId w:val="5"/>
        </w:numPr>
        <w:spacing w:after="80" w:line="290"/>
      </w:pPr>
      <w:r>
        <w:rPr>
          <w:rFonts w:ascii="Arial" w:cs="Arial" w:eastAsia="Arial" w:hAnsi="Arial"/>
          <w:b/>
          <w:bCs/>
        </w:rPr>
        <w:t xml:space="preserve">Key terms:</w:t>
      </w:r>
      <w:r>
        <w:rPr>
          <w:rFonts w:ascii="Arial" w:cs="Arial" w:eastAsia="Arial" w:hAnsi="Arial"/>
        </w:rPr>
        <w:t xml:space="preserve"> each term with its Arabic equivalent and a one-line definition.</w:t>
      </w:r>
    </w:p>
    <w:p>
      <w:pPr>
        <w:pStyle w:val="ListParagraph"/>
        <w:numPr>
          <w:ilvl w:val="0"/>
          <w:numId w:val="5"/>
        </w:numPr>
        <w:spacing w:after="80" w:line="290"/>
      </w:pPr>
      <w:r>
        <w:rPr>
          <w:rFonts w:ascii="Arial" w:cs="Arial" w:eastAsia="Arial" w:hAnsi="Arial"/>
          <w:b/>
          <w:bCs/>
        </w:rPr>
        <w:t xml:space="preserve">Explanation and examples:</w:t>
      </w:r>
      <w:r>
        <w:rPr>
          <w:rFonts w:ascii="Arial" w:cs="Arial" w:eastAsia="Arial" w:hAnsi="Arial"/>
        </w:rPr>
        <w:t xml:space="preserve"> short sections, with examples in both languages.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w:t>
      </w:r>
      <w:r>
        <w:rPr>
          <w:rFonts w:ascii="Arial" w:cs="Arial" w:eastAsia="Arial" w:hAnsi="Arial"/>
        </w:rPr>
        <w:t xml:space="preserve"> the main points of the chapter in a short list.</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now gives a descriptive translation that keeps the idea of the time difference.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Expert review before publication</w:t>
      </w:r>
    </w:p>
    <w:p>
      <w:pPr>
        <w:spacing w:after="140" w:line="300"/>
        <w:jc w:val="both"/>
      </w:pPr>
      <w:r>
        <w:rPr>
          <w:rFonts w:ascii="Arial" w:cs="Arial" w:eastAsia="Arial" w:hAnsi="Arial"/>
        </w:rPr>
        <w:t xml:space="preserve">An error found on the first page of Chapter 1 (a freelancer given as an example of a commissioned translator) led to a full expert review of the book in both languages. The review checked concepts and facts, Arabic language and terminology, examples, consistency, repetition, English, neutrality and citations. 192 corrections were made, 23 of them of high importance. Examples of the most important corrections: the rule on Arabic word order (both verb-first and subject-first sentences are correct), the Arabic equivalent of “is”, the explanations of zakat and tayammum, the Arabic terms for lexical creation, lexicalisation, form and modulation, the definition of a terminologist, and several examples that did not illustrate the point they were given for. Every correction and its reason is listed in a separate document, the Correction Log, together with 18 points that must be checked against the printed sources.</w:t>
      </w:r>
    </w:p>
    <w:p>
      <w:pPr>
        <w:pStyle w:val="Heading2"/>
      </w:pPr>
      <w:r>
        <w:t xml:space="preserve">8.5 Removed to shorten the handbook</w:t>
      </w:r>
    </w:p>
    <w:p>
      <w:pPr>
        <w:spacing w:after="140" w:line="300"/>
        <w:jc w:val="both"/>
      </w:pPr>
      <w:r>
        <w:rPr>
          <w:rFonts w:ascii="Arial" w:cs="Arial" w:eastAsia="Arial" w:hAnsi="Arial"/>
        </w:rPr>
        <w:t xml:space="preserve">At the team’s request, the handbook was shortened from 102 to 86 pages by removing material that a beginner does not need in order to use the book:</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“Try it” exercise with answers.</w:t>
      </w:r>
    </w:p>
    <w:p>
      <w:pPr>
        <w:pStyle w:val="ListParagraph"/>
        <w:numPr>
          <w:ilvl w:val="0"/>
          <w:numId w:val="2"/>
        </w:numPr>
        <w:spacing w:after="80" w:line="290"/>
      </w:pPr>
      <w:r>
        <w:rPr>
          <w:rFonts w:ascii="Arial" w:cs="Arial" w:eastAsia="Arial" w:hAnsi="Arial"/>
        </w:rPr>
        <w:t xml:space="preserve">The four checklists at the end of the book.</w:t>
      </w:r>
    </w:p>
    <w:p>
      <w:pPr>
        <w:pStyle w:val="ListParagraph"/>
        <w:numPr>
          <w:ilvl w:val="0"/>
          <w:numId w:val="2"/>
        </w:numPr>
        <w:spacing w:after="80" w:line="290"/>
      </w:pPr>
      <w:r>
        <w:rPr>
          <w:rFonts w:ascii="Arial" w:cs="Arial" w:eastAsia="Arial" w:hAnsi="Arial"/>
        </w:rPr>
        <w:t xml:space="preserve">The note on future editions.</w:t>
      </w:r>
    </w:p>
    <w:p>
      <w:pPr>
        <w:pStyle w:val="ListParagraph"/>
        <w:numPr>
          <w:ilvl w:val="0"/>
          <w:numId w:val="2"/>
        </w:numPr>
        <w:spacing w:after="80" w:line="290"/>
      </w:pPr>
      <w:r>
        <w:rPr>
          <w:rFonts w:ascii="Arial" w:cs="Arial" w:eastAsia="Arial" w:hAnsi="Arial"/>
        </w:rPr>
        <w:t xml:space="preserve">The names of scholars in the running text. Each idea taken from a published work keeps its short citation in brackets, and the full sources remain in the references, so that the handbook meets academic standards on attribution.</w:t>
      </w:r>
    </w:p>
    <w:p>
      <w:pPr>
        <w:pStyle w:val="ListParagraph"/>
        <w:numPr>
          <w:ilvl w:val="0"/>
          <w:numId w:val="2"/>
        </w:numPr>
        <w:spacing w:after="80" w:line="290"/>
      </w:pPr>
      <w:r>
        <w:rPr>
          <w:rFonts w:ascii="Arial" w:cs="Arial" w:eastAsia="Arial" w:hAnsi="Arial"/>
        </w:rPr>
        <w:t xml:space="preserve">The separate page for the acknowledgements, which now closes the preface, and the separate page for the abbreviations, which now follow “How to use this handbook”.</w:t>
      </w:r>
    </w:p>
    <w:p>
      <w:pPr>
        <w:pStyle w:val="ListParagraph"/>
        <w:numPr>
          <w:ilvl w:val="0"/>
          <w:numId w:val="2"/>
        </w:numPr>
        <w:spacing w:after="80" w:line="290"/>
      </w:pPr>
      <w:r>
        <w:rPr>
          <w:rFonts w:ascii="Arial" w:cs="Arial" w:eastAsia="Arial" w:hAnsi="Arial"/>
        </w:rPr>
        <w:t xml:space="preserve">One reference that was used only in the practice section (the Universal Declaration of Human Rights).</w:t>
      </w:r>
    </w:p>
    <w:p>
      <w:pPr>
        <w:spacing w:after="60"/>
      </w:pPr>
    </w:p>
    <w:p>
      <w:pPr>
        <w:pStyle w:val="Heading2"/>
      </w:pPr>
      <w:r>
        <w:t xml:space="preserve">8.6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how to use the handbook, abbreviations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bl>
    <w:p>
      <w:pPr>
        <w:spacing w:after="1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by chapter (Chapter 2) instead of page.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 “function plus loyalty”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18 points listed in Section 4 of the Correction Log against the printed sources.</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that the statement on AI assistance on the copyright page meets the university’s and the publisher’s rules.</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2026-09-25T13:47:46.255Z</dcterms:created>
  <dcterms:modified xsi:type="dcterms:W3CDTF">2026-09-25T13:47:46.255Z</dcterms:modified>
</cp:coreProperties>
</file>

<file path=docProps/custom.xml><?xml version="1.0" encoding="utf-8"?>
<Properties xmlns="http://schemas.openxmlformats.org/officeDocument/2006/custom-properties" xmlns:vt="http://schemas.openxmlformats.org/officeDocument/2006/docPropsVTypes"/>
</file>