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92 pages including the covers, B5 page size (176 × 250 mm), with 9 parts and 27 chapters, followed by a list of abbreviations, a short list of further reading, a glossary of 113 terms, a list of 39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(selected by Samiuallah and Masooma)</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(paragraph 55). Shaikha’s study notes were received later and used, as listed in the Final Report, Section 4.1.</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110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18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and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and acknowledgements, and “Start here”, which explains to a complete beginner what a translator does, the four steps of every translation and the journey through the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5–7)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8–9)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10–14)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15–17)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18–20)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3–22)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Where we are:</w:t>
      </w:r>
      <w:r>
        <w:rPr>
          <w:rFonts w:ascii="Arial" w:cs="Arial" w:eastAsia="Arial" w:hAnsi="Arial"/>
        </w:rPr>
        <w:t xml:space="preserve"> what the reader already knows, what the chapter will show and what they will be able to do by the end.</w:t>
      </w:r>
    </w:p>
    <w:p>
      <w:pPr>
        <w:pStyle w:val="ListParagraph"/>
        <w:numPr>
          <w:ilvl w:val="0"/>
          <w:numId w:val="5"/>
        </w:numPr>
        <w:spacing w:after="80" w:line="290"/>
      </w:pPr>
      <w:r>
        <w:rPr>
          <w:rFonts w:ascii="Arial" w:cs="Arial" w:eastAsia="Arial" w:hAnsi="Arial"/>
          <w:b/>
          <w:bCs/>
        </w:rPr>
        <w:t xml:space="preserve">Numbered steps</w:t>
      </w:r>
      <w:r>
        <w:rPr>
          <w:rFonts w:ascii="Arial" w:cs="Arial" w:eastAsia="Arial" w:hAnsi="Arial"/>
        </w:rPr>
        <w:t xml:space="preserve"> (Step 1, Step 2 …): each step shows a problem with an example first, then the solution, and gives the technical name only after the idea has been explained.</w:t>
      </w:r>
    </w:p>
    <w:p>
      <w:pPr>
        <w:pStyle w:val="ListParagraph"/>
        <w:numPr>
          <w:ilvl w:val="0"/>
          <w:numId w:val="5"/>
        </w:numPr>
        <w:spacing w:after="80" w:line="290"/>
      </w:pPr>
      <w:r>
        <w:rPr>
          <w:rFonts w:ascii="Arial" w:cs="Arial" w:eastAsia="Arial" w:hAnsi="Arial"/>
          <w:b/>
          <w:bCs/>
        </w:rPr>
        <w:t xml:space="preserve">Common mistakes</w:t>
      </w:r>
      <w:r>
        <w:rPr>
          <w:rFonts w:ascii="Arial" w:cs="Arial" w:eastAsia="Arial" w:hAnsi="Arial"/>
        </w:rPr>
        <w:t xml:space="preserve">, in chapters where beginners often make the same errors.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 and Words to remember:</w:t>
      </w:r>
      <w:r>
        <w:rPr>
          <w:rFonts w:ascii="Arial" w:cs="Arial" w:eastAsia="Arial" w:hAnsi="Arial"/>
        </w:rPr>
        <w:t xml:space="preserve"> the main points, and the chapter’s key terms with their Arabic equivalents and short definitions, in one box at the end.</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8, 9 and 15.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11)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14).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20).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30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(92 after the final additions in Section 9)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moved to the back of the 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Guided rewrite and final review</w:t>
      </w:r>
    </w:p>
    <w:p>
      <w:pPr>
        <w:spacing w:after="140" w:line="300"/>
        <w:jc w:val="both"/>
      </w:pPr>
      <w:r>
        <w:rPr>
          <w:rFonts w:ascii="Arial" w:cs="Arial" w:eastAsia="Arial" w:hAnsi="Arial"/>
        </w:rPr>
        <w:t xml:space="preserve">At the team’s request, the whole book was rewritten as a step-by-step guide for readers who have never studied translation. The format follows the common pattern of widely used translation coursebooks, such as Baker (2018), Dickins et al. (2016) and Ghazala (2008): explain the idea, show the problem with an example, show the solution, then practise and summarise; and move from basic ideas to words, grammar, whole texts and specialised fields.</w:t>
      </w:r>
    </w:p>
    <w:p>
      <w:pPr>
        <w:pStyle w:val="ListParagraph"/>
        <w:numPr>
          <w:ilvl w:val="0"/>
          <w:numId w:val="2"/>
        </w:numPr>
        <w:spacing w:after="80" w:line="290"/>
      </w:pPr>
      <w:r>
        <w:rPr>
          <w:rFonts w:ascii="Arial" w:cs="Arial" w:eastAsia="Arial" w:hAnsi="Arial"/>
        </w:rPr>
        <w:t xml:space="preserve">A new opening, “Start here”, explains what a translator does with an everyday example, the four steps of every translation and the journey through the book.</w:t>
      </w:r>
    </w:p>
    <w:p>
      <w:pPr>
        <w:pStyle w:val="ListParagraph"/>
        <w:numPr>
          <w:ilvl w:val="0"/>
          <w:numId w:val="2"/>
        </w:numPr>
        <w:spacing w:after="80" w:line="290"/>
      </w:pPr>
      <w:r>
        <w:rPr>
          <w:rFonts w:ascii="Arial" w:cs="Arial" w:eastAsia="Arial" w:hAnsi="Arial"/>
        </w:rPr>
        <w:t xml:space="preserve">Each chapter now opens with “Where we are”, follows numbered steps, and ends with “Remember” and “Words to remember”. The key terms moved from the start to the end of each chapter, so that ideas are explained before they are named.</w:t>
      </w:r>
    </w:p>
    <w:p>
      <w:pPr>
        <w:pStyle w:val="ListParagraph"/>
        <w:numPr>
          <w:ilvl w:val="0"/>
          <w:numId w:val="2"/>
        </w:numPr>
        <w:spacing w:after="80" w:line="290"/>
      </w:pPr>
      <w:r>
        <w:rPr>
          <w:rFonts w:ascii="Arial" w:cs="Arial" w:eastAsia="Arial" w:hAnsi="Arial"/>
        </w:rPr>
        <w:t xml:space="preserve">The abbreviations moved to the back of the book, and a short list of further reading was added, using only books already in the references.</w:t>
      </w:r>
    </w:p>
    <w:p>
      <w:pPr>
        <w:pStyle w:val="ListParagraph"/>
        <w:numPr>
          <w:ilvl w:val="0"/>
          <w:numId w:val="2"/>
        </w:numPr>
        <w:spacing w:after="80" w:line="290"/>
      </w:pPr>
      <w:r>
        <w:rPr>
          <w:rFonts w:ascii="Arial" w:cs="Arial" w:eastAsia="Arial" w:hAnsi="Arial"/>
        </w:rPr>
        <w:t xml:space="preserve">All examples, Arabic strings and citations were kept; this was checked automatically after the rewrite.</w:t>
      </w:r>
    </w:p>
    <w:p>
      <w:pPr>
        <w:pStyle w:val="ListParagraph"/>
        <w:numPr>
          <w:ilvl w:val="0"/>
          <w:numId w:val="2"/>
        </w:numPr>
        <w:spacing w:after="80" w:line="290"/>
      </w:pPr>
      <w:r>
        <w:rPr>
          <w:rFonts w:ascii="Arial" w:cs="Arial" w:eastAsia="Arial" w:hAnsi="Arial"/>
        </w:rPr>
        <w:t xml:space="preserve">A second full expert review followed, in both languages, with a check of every reference and quotation against published information. It led to 102 further corrections, listed in the Correction Log. Among them: the example for the verb </w:t>
      </w:r>
      <w:r>
        <w:rPr>
          <w:rFonts w:ascii="Arial" w:cs="Arial" w:eastAsia="Arial" w:hAnsi="Arial"/>
          <w:i/>
          <w:iCs/>
        </w:rPr>
        <w:t xml:space="preserve">have</w:t>
      </w:r>
      <w:r>
        <w:rPr>
          <w:rFonts w:ascii="Arial" w:cs="Arial" w:eastAsia="Arial" w:hAnsi="Arial"/>
        </w:rPr>
        <w:t xml:space="preserve">, a wrong cross-reference in Chapter 7, conflicting advice on when to use explanatory translation,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in Chapter 20, the definition of spotting in subtitling, the page number of a quotation from Newmark (1988, p. 11), and missing details in several references.</w:t>
      </w:r>
    </w:p>
    <w:p>
      <w:pPr>
        <w:spacing w:after="60"/>
      </w:pPr>
    </w:p>
    <w:p>
      <w:pPr>
        <w:pStyle w:val="Heading2"/>
      </w:pPr>
      <w:r>
        <w:t xml:space="preserve">8.7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and “Start here”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19–24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2"/>
      </w:pPr>
      <w:r>
        <w:t xml:space="preserve">9.1 Final additions</w:t>
      </w:r>
    </w:p>
    <w:p>
      <w:pPr>
        <w:spacing w:after="140" w:line="300"/>
        <w:jc w:val="both"/>
      </w:pPr>
      <w:r>
        <w:rPr>
          <w:rFonts w:ascii="Arial" w:cs="Arial" w:eastAsia="Arial" w:hAnsi="Arial"/>
        </w:rPr>
        <w:t xml:space="preserve">In the final revision, the chapters on grammar, meaning, word groups, text types, technology and audiovisual translation were made more practical, using general principles of translation taught at university level. Where a concept was already in the handbook, only examples were added; new concepts were added only where the handbook had a gap. The ideas come from published works already cited in the handbook, mainly Baker (2018) and Jakobson (1959), and every example was checked for the handbook:</w:t>
      </w:r>
    </w:p>
    <w:p>
      <w:pPr>
        <w:pStyle w:val="ListParagraph"/>
        <w:numPr>
          <w:ilvl w:val="0"/>
          <w:numId w:val="2"/>
        </w:numPr>
        <w:spacing w:after="80" w:line="290"/>
      </w:pPr>
      <w:r>
        <w:rPr>
          <w:rFonts w:ascii="Arial" w:cs="Arial" w:eastAsia="Arial" w:hAnsi="Arial"/>
        </w:rPr>
        <w:t xml:space="preserve">Chapter 1: the three kinds of translation, and the translator as a reader before a writer.</w:t>
      </w:r>
    </w:p>
    <w:p>
      <w:pPr>
        <w:pStyle w:val="ListParagraph"/>
        <w:numPr>
          <w:ilvl w:val="0"/>
          <w:numId w:val="2"/>
        </w:numPr>
        <w:spacing w:after="80" w:line="290"/>
      </w:pPr>
      <w:r>
        <w:rPr>
          <w:rFonts w:ascii="Arial" w:cs="Arial" w:eastAsia="Arial" w:hAnsi="Arial"/>
        </w:rPr>
        <w:t xml:space="preserve">Chapter 4: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and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rPr>
        <w:t xml:space="preserve">Chapter 6: problems with single words: lexical gaps, false equivalents and rare words.</w:t>
      </w:r>
    </w:p>
    <w:p>
      <w:pPr>
        <w:pStyle w:val="ListParagraph"/>
        <w:numPr>
          <w:ilvl w:val="0"/>
          <w:numId w:val="2"/>
        </w:numPr>
        <w:spacing w:after="80" w:line="290"/>
      </w:pPr>
      <w:r>
        <w:rPr>
          <w:rFonts w:ascii="Arial" w:cs="Arial" w:eastAsia="Arial" w:hAnsi="Arial"/>
        </w:rPr>
        <w:t xml:space="preserve">Chapter 7: one more example of a word with several meanings (</w:t>
      </w:r>
      <w:r>
        <w:rPr>
          <w:rFonts w:ascii="Arial" w:cs="Arial" w:hAnsi="Arial"/>
          <w:szCs w:val="23"/>
          <w:rtl/>
        </w:rPr>
        <w:t xml:space="preserve">خط</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8: one English verb with several Arabic equivalents (</w:t>
      </w:r>
      <w:r>
        <w:rPr>
          <w:rFonts w:ascii="Arial" w:cs="Arial" w:eastAsia="Arial" w:hAnsi="Arial"/>
          <w:i/>
          <w:iCs/>
        </w:rPr>
        <w:t xml:space="preserve">deliver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9: fixed expressions, how to spot an idiom, five ways to translate one, and three more idiom examples.</w:t>
      </w:r>
    </w:p>
    <w:p>
      <w:pPr>
        <w:pStyle w:val="ListParagraph"/>
        <w:numPr>
          <w:ilvl w:val="0"/>
          <w:numId w:val="2"/>
        </w:numPr>
        <w:spacing w:after="80" w:line="290"/>
      </w:pPr>
      <w:r>
        <w:rPr>
          <w:rFonts w:ascii="Arial" w:cs="Arial" w:eastAsia="Arial" w:hAnsi="Arial"/>
        </w:rPr>
        <w:t xml:space="preserve">Chapter 14: examples of cultural substitution for times and measures, and of Arabic loan words in English.</w:t>
      </w:r>
    </w:p>
    <w:p>
      <w:pPr>
        <w:pStyle w:val="ListParagraph"/>
        <w:numPr>
          <w:ilvl w:val="0"/>
          <w:numId w:val="2"/>
        </w:numPr>
        <w:spacing w:after="80" w:line="290"/>
      </w:pPr>
      <w:r>
        <w:rPr>
          <w:rFonts w:ascii="Arial" w:cs="Arial" w:eastAsia="Arial" w:hAnsi="Arial"/>
        </w:rPr>
        <w:t xml:space="preserve">Chapter 17: more examples of arabicisation.</w:t>
      </w:r>
    </w:p>
    <w:p>
      <w:pPr>
        <w:pStyle w:val="ListParagraph"/>
        <w:numPr>
          <w:ilvl w:val="0"/>
          <w:numId w:val="2"/>
        </w:numPr>
        <w:spacing w:after="80" w:line="290"/>
      </w:pPr>
      <w:r>
        <w:rPr>
          <w:rFonts w:ascii="Arial" w:cs="Arial" w:eastAsia="Arial" w:hAnsi="Arial"/>
        </w:rPr>
        <w:t xml:space="preserve">Chapter 19: translating news headlines, the structure of news stories, and technical and literary texts.</w:t>
      </w:r>
    </w:p>
    <w:p>
      <w:pPr>
        <w:pStyle w:val="ListParagraph"/>
        <w:numPr>
          <w:ilvl w:val="0"/>
          <w:numId w:val="2"/>
        </w:numPr>
        <w:spacing w:after="80" w:line="290"/>
      </w:pPr>
      <w:r>
        <w:rPr>
          <w:rFonts w:ascii="Arial" w:cs="Arial" w:eastAsia="Arial" w:hAnsi="Arial"/>
        </w:rPr>
        <w:t xml:space="preserve">Chapter 21: medical examples of specialised terms.</w:t>
      </w:r>
    </w:p>
    <w:p>
      <w:pPr>
        <w:pStyle w:val="ListParagraph"/>
        <w:numPr>
          <w:ilvl w:val="0"/>
          <w:numId w:val="2"/>
        </w:numPr>
        <w:spacing w:after="80" w:line="290"/>
      </w:pPr>
      <w:r>
        <w:rPr>
          <w:rFonts w:ascii="Arial" w:cs="Arial" w:eastAsia="Arial" w:hAnsi="Arial"/>
        </w:rPr>
        <w:t xml:space="preserve">Chapter 22: the tools translators use (translation memory, termbases and CAT tools), a worked post-editing example, advice on using AI tools, and a practical note on localisation.</w:t>
      </w:r>
    </w:p>
    <w:p>
      <w:pPr>
        <w:pStyle w:val="ListParagraph"/>
        <w:numPr>
          <w:ilvl w:val="0"/>
          <w:numId w:val="2"/>
        </w:numPr>
        <w:spacing w:after="80" w:line="290"/>
      </w:pPr>
      <w:r>
        <w:rPr>
          <w:rFonts w:ascii="Arial" w:cs="Arial" w:eastAsia="Arial" w:hAnsi="Arial"/>
        </w:rPr>
        <w:t xml:space="preserve">Chapter 26: a short list of the main types of audiovisual translation, a real dubbing example, and first steps for beginners, in place of the section on audiovisual translation in the Arab world.</w:t>
      </w:r>
    </w:p>
    <w:p>
      <w:pPr>
        <w:pStyle w:val="ListParagraph"/>
        <w:numPr>
          <w:ilvl w:val="0"/>
          <w:numId w:val="2"/>
        </w:numPr>
        <w:spacing w:after="80" w:line="290"/>
      </w:pPr>
      <w:r>
        <w:rPr>
          <w:rFonts w:ascii="Arial" w:cs="Arial" w:eastAsia="Arial" w:hAnsi="Arial"/>
        </w:rPr>
        <w:t xml:space="preserve">Chapter 27: a step-by-step method for subtitling, a worked example of condensing a line, and rules for Arabic subtitles.</w:t>
      </w:r>
    </w:p>
    <w:p>
      <w:pPr>
        <w:spacing w:after="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cited with its page (Newmark, 1988, p. 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30 points listed in Section 5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the copyright line and the statement on AI assistance on the copyright page.</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20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11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2026-09-25T21:39:52.822Z</dcterms:created>
  <dcterms:modified xsi:type="dcterms:W3CDTF">2026-09-25T21:39:52.823Z</dcterms:modified>
</cp:coreProperties>
</file>

<file path=docProps/custom.xml><?xml version="1.0" encoding="utf-8"?>
<Properties xmlns="http://schemas.openxmlformats.org/officeDocument/2006/custom-properties" xmlns:vt="http://schemas.openxmlformats.org/officeDocument/2006/docPropsVTypes"/>
</file>